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Scrutiny Recommendation Tracker 201</w:t>
      </w:r>
      <w:r w:rsidR="00EC1706">
        <w:rPr>
          <w:b/>
          <w:sz w:val="28"/>
        </w:rPr>
        <w:t>5-16</w:t>
      </w:r>
    </w:p>
    <w:p w:rsidR="00316382" w:rsidRDefault="00316382" w:rsidP="0035028E">
      <w:pPr>
        <w:jc w:val="center"/>
        <w:rPr>
          <w:b/>
          <w:sz w:val="28"/>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709"/>
        <w:gridCol w:w="283"/>
        <w:gridCol w:w="284"/>
        <w:gridCol w:w="425"/>
        <w:gridCol w:w="567"/>
        <w:gridCol w:w="3969"/>
        <w:gridCol w:w="1418"/>
        <w:gridCol w:w="141"/>
        <w:gridCol w:w="1560"/>
      </w:tblGrid>
      <w:tr w:rsidR="003E3F0E" w:rsidRPr="00B44C14" w:rsidTr="003E3F0E">
        <w:trPr>
          <w:trHeight w:val="430"/>
        </w:trPr>
        <w:tc>
          <w:tcPr>
            <w:tcW w:w="1389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3E3F0E" w:rsidRPr="00B44C14" w:rsidRDefault="003E3F0E" w:rsidP="00191DD3">
            <w:pPr>
              <w:rPr>
                <w:rFonts w:cs="Arial"/>
                <w:b/>
                <w:bCs/>
                <w:sz w:val="22"/>
                <w:szCs w:val="22"/>
              </w:rPr>
            </w:pPr>
            <w:r>
              <w:rPr>
                <w:rFonts w:cs="Arial"/>
                <w:b/>
                <w:bCs/>
                <w:sz w:val="22"/>
                <w:szCs w:val="22"/>
              </w:rPr>
              <w:t>Municipal Bonds</w:t>
            </w:r>
            <w:r>
              <w:rPr>
                <w:rFonts w:cs="Arial"/>
                <w:b/>
                <w:bCs/>
                <w:sz w:val="22"/>
                <w:szCs w:val="22"/>
              </w:rPr>
              <w:t xml:space="preserve"> – Finance Panel 2 July</w:t>
            </w:r>
          </w:p>
        </w:tc>
      </w:tr>
      <w:tr w:rsidR="003E3F0E" w:rsidRPr="00B44C14" w:rsidTr="003E3F0E">
        <w:tc>
          <w:tcPr>
            <w:tcW w:w="4536" w:type="dxa"/>
            <w:shd w:val="clear" w:color="auto" w:fill="auto"/>
            <w:vAlign w:val="center"/>
          </w:tcPr>
          <w:p w:rsidR="003E3F0E" w:rsidRPr="00B44C14" w:rsidRDefault="003E3F0E" w:rsidP="00191DD3">
            <w:pPr>
              <w:rPr>
                <w:rFonts w:cs="Arial"/>
                <w:b/>
                <w:sz w:val="22"/>
                <w:szCs w:val="22"/>
              </w:rPr>
            </w:pPr>
            <w:r w:rsidRPr="00B44C14">
              <w:rPr>
                <w:rFonts w:cs="Arial"/>
                <w:b/>
                <w:sz w:val="22"/>
                <w:szCs w:val="22"/>
              </w:rPr>
              <w:t>Recommendation</w:t>
            </w:r>
          </w:p>
        </w:tc>
        <w:tc>
          <w:tcPr>
            <w:tcW w:w="992" w:type="dxa"/>
            <w:gridSpan w:val="2"/>
            <w:shd w:val="clear" w:color="auto" w:fill="auto"/>
            <w:vAlign w:val="center"/>
          </w:tcPr>
          <w:p w:rsidR="003E3F0E" w:rsidRPr="00B44C14" w:rsidRDefault="003E3F0E" w:rsidP="00191DD3">
            <w:pPr>
              <w:rPr>
                <w:rFonts w:cs="Arial"/>
                <w:b/>
                <w:sz w:val="22"/>
                <w:szCs w:val="22"/>
              </w:rPr>
            </w:pPr>
            <w:r w:rsidRPr="00B44C14">
              <w:rPr>
                <w:rFonts w:cs="Arial"/>
                <w:b/>
                <w:sz w:val="22"/>
                <w:szCs w:val="22"/>
              </w:rPr>
              <w:t>Agreed Y/N</w:t>
            </w:r>
          </w:p>
        </w:tc>
        <w:tc>
          <w:tcPr>
            <w:tcW w:w="5245" w:type="dxa"/>
            <w:gridSpan w:val="4"/>
            <w:shd w:val="clear" w:color="auto" w:fill="auto"/>
            <w:vAlign w:val="center"/>
          </w:tcPr>
          <w:p w:rsidR="003E3F0E" w:rsidRPr="00B44C14" w:rsidRDefault="003E3F0E" w:rsidP="003E3F0E">
            <w:pPr>
              <w:rPr>
                <w:rFonts w:cs="Arial"/>
                <w:b/>
                <w:sz w:val="22"/>
                <w:szCs w:val="22"/>
              </w:rPr>
            </w:pPr>
            <w:r w:rsidRPr="003E3F0E">
              <w:rPr>
                <w:rFonts w:cs="Arial"/>
                <w:b/>
                <w:sz w:val="22"/>
                <w:szCs w:val="22"/>
              </w:rPr>
              <w:t xml:space="preserve">Suggested executive response provided by the Board Member for Finance   </w:t>
            </w:r>
          </w:p>
        </w:tc>
        <w:tc>
          <w:tcPr>
            <w:tcW w:w="1418" w:type="dxa"/>
            <w:vAlign w:val="center"/>
          </w:tcPr>
          <w:p w:rsidR="003E3F0E" w:rsidRPr="00B44C14" w:rsidRDefault="003E3F0E" w:rsidP="00191DD3">
            <w:pPr>
              <w:rPr>
                <w:rFonts w:cs="Arial"/>
                <w:b/>
                <w:sz w:val="22"/>
                <w:szCs w:val="22"/>
              </w:rPr>
            </w:pPr>
            <w:r w:rsidRPr="00B44C14">
              <w:rPr>
                <w:rFonts w:cs="Arial"/>
                <w:b/>
                <w:sz w:val="22"/>
                <w:szCs w:val="22"/>
              </w:rPr>
              <w:t xml:space="preserve">Lead Member &amp; Officer </w:t>
            </w:r>
          </w:p>
        </w:tc>
        <w:tc>
          <w:tcPr>
            <w:tcW w:w="1701" w:type="dxa"/>
            <w:gridSpan w:val="2"/>
            <w:vAlign w:val="center"/>
          </w:tcPr>
          <w:p w:rsidR="003E3F0E" w:rsidRPr="00B44C14" w:rsidRDefault="003E3F0E" w:rsidP="00191DD3">
            <w:pPr>
              <w:rPr>
                <w:rFonts w:cs="Arial"/>
                <w:b/>
                <w:sz w:val="22"/>
                <w:szCs w:val="22"/>
              </w:rPr>
            </w:pPr>
            <w:r w:rsidRPr="00B44C14">
              <w:rPr>
                <w:rFonts w:cs="Arial"/>
                <w:b/>
                <w:sz w:val="22"/>
                <w:szCs w:val="22"/>
              </w:rPr>
              <w:t>Implemented Y/N / due date</w:t>
            </w:r>
          </w:p>
        </w:tc>
      </w:tr>
      <w:tr w:rsidR="003E3F0E" w:rsidRPr="008510EC" w:rsidTr="003E3F0E">
        <w:tc>
          <w:tcPr>
            <w:tcW w:w="4536" w:type="dxa"/>
            <w:shd w:val="clear" w:color="auto" w:fill="auto"/>
          </w:tcPr>
          <w:p w:rsidR="003E3F0E" w:rsidRPr="00AC577F" w:rsidRDefault="003E3F0E" w:rsidP="00191DD3">
            <w:pPr>
              <w:rPr>
                <w:rFonts w:cs="Arial"/>
              </w:rPr>
            </w:pPr>
            <w:r w:rsidRPr="00691EDF">
              <w:rPr>
                <w:rFonts w:cs="Arial"/>
              </w:rPr>
              <w:t>1. T</w:t>
            </w:r>
            <w:r>
              <w:rPr>
                <w:rFonts w:cs="Arial"/>
              </w:rPr>
              <w:t>hat t</w:t>
            </w:r>
            <w:r w:rsidRPr="00691EDF">
              <w:rPr>
                <w:rFonts w:cs="Arial"/>
              </w:rPr>
              <w:t>he City Council welcomes the establishment of the Municipal Bonds Agency as a worthwhile social investment vehicle and source of capital financing.</w:t>
            </w:r>
          </w:p>
        </w:tc>
        <w:tc>
          <w:tcPr>
            <w:tcW w:w="992" w:type="dxa"/>
            <w:gridSpan w:val="2"/>
            <w:shd w:val="clear" w:color="auto" w:fill="auto"/>
          </w:tcPr>
          <w:p w:rsidR="003E3F0E" w:rsidRPr="00AC577F" w:rsidRDefault="003E3F0E" w:rsidP="00191DD3">
            <w:pPr>
              <w:rPr>
                <w:rFonts w:cs="Arial"/>
              </w:rPr>
            </w:pPr>
            <w:r>
              <w:rPr>
                <w:rFonts w:cs="Arial"/>
              </w:rPr>
              <w:t>Y</w:t>
            </w:r>
          </w:p>
        </w:tc>
        <w:tc>
          <w:tcPr>
            <w:tcW w:w="5245" w:type="dxa"/>
            <w:gridSpan w:val="4"/>
            <w:shd w:val="clear" w:color="auto" w:fill="auto"/>
          </w:tcPr>
          <w:p w:rsidR="003E3F0E" w:rsidRPr="00AC577F" w:rsidRDefault="003E3F0E" w:rsidP="00191DD3">
            <w:pPr>
              <w:rPr>
                <w:rFonts w:cs="Arial"/>
              </w:rPr>
            </w:pPr>
            <w:r>
              <w:rPr>
                <w:rFonts w:cs="Arial"/>
              </w:rPr>
              <w:t>Agreed. The City Council welcomes the establishment as an alternative source of financing to PWLB</w:t>
            </w:r>
          </w:p>
        </w:tc>
        <w:tc>
          <w:tcPr>
            <w:tcW w:w="1418" w:type="dxa"/>
          </w:tcPr>
          <w:p w:rsidR="003E3F0E" w:rsidRPr="008510EC" w:rsidRDefault="003E3F0E" w:rsidP="00191DD3">
            <w:pPr>
              <w:rPr>
                <w:rFonts w:cs="Arial"/>
                <w:sz w:val="22"/>
                <w:szCs w:val="22"/>
              </w:rPr>
            </w:pPr>
            <w:r>
              <w:rPr>
                <w:rFonts w:cs="Arial"/>
                <w:sz w:val="22"/>
                <w:szCs w:val="22"/>
              </w:rPr>
              <w:t>Cllr Turner / Nigel Kennedy</w:t>
            </w:r>
          </w:p>
        </w:tc>
        <w:tc>
          <w:tcPr>
            <w:tcW w:w="1701" w:type="dxa"/>
            <w:gridSpan w:val="2"/>
          </w:tcPr>
          <w:p w:rsidR="003E3F0E" w:rsidRPr="008510EC" w:rsidRDefault="003E3F0E" w:rsidP="00191DD3">
            <w:pPr>
              <w:rPr>
                <w:rFonts w:cs="Arial"/>
                <w:sz w:val="22"/>
                <w:szCs w:val="22"/>
              </w:rPr>
            </w:pPr>
            <w:r>
              <w:rPr>
                <w:rFonts w:cs="Arial"/>
                <w:sz w:val="22"/>
                <w:szCs w:val="22"/>
              </w:rPr>
              <w:t>10 Sept CEB</w:t>
            </w:r>
          </w:p>
        </w:tc>
      </w:tr>
      <w:tr w:rsidR="003E3F0E" w:rsidRPr="008510EC" w:rsidTr="003E3F0E">
        <w:tc>
          <w:tcPr>
            <w:tcW w:w="4536" w:type="dxa"/>
            <w:shd w:val="clear" w:color="auto" w:fill="auto"/>
          </w:tcPr>
          <w:p w:rsidR="003E3F0E" w:rsidRPr="00AC577F" w:rsidRDefault="003E3F0E" w:rsidP="00191DD3">
            <w:pPr>
              <w:rPr>
                <w:rFonts w:cs="Arial"/>
              </w:rPr>
            </w:pPr>
            <w:r w:rsidRPr="00691EDF">
              <w:rPr>
                <w:rFonts w:cs="Arial"/>
              </w:rPr>
              <w:t>2. Th</w:t>
            </w:r>
            <w:r>
              <w:rPr>
                <w:rFonts w:cs="Arial"/>
              </w:rPr>
              <w:t>at th</w:t>
            </w:r>
            <w:r w:rsidRPr="00691EDF">
              <w:rPr>
                <w:rFonts w:cs="Arial"/>
              </w:rPr>
              <w:t>e City Council doesn’t make significant investments in the Municipal Bonds Agency or borrow from it at this stage but keeps a watching brief on the Agency and considers it as a future source of prudential borrowing.</w:t>
            </w:r>
          </w:p>
        </w:tc>
        <w:tc>
          <w:tcPr>
            <w:tcW w:w="992" w:type="dxa"/>
            <w:gridSpan w:val="2"/>
            <w:shd w:val="clear" w:color="auto" w:fill="auto"/>
          </w:tcPr>
          <w:p w:rsidR="003E3F0E" w:rsidRPr="00AC577F" w:rsidRDefault="003E3F0E" w:rsidP="00191DD3">
            <w:pPr>
              <w:rPr>
                <w:rFonts w:cs="Arial"/>
              </w:rPr>
            </w:pPr>
            <w:r>
              <w:rPr>
                <w:rFonts w:cs="Arial"/>
              </w:rPr>
              <w:t>Y</w:t>
            </w:r>
          </w:p>
        </w:tc>
        <w:tc>
          <w:tcPr>
            <w:tcW w:w="5245" w:type="dxa"/>
            <w:gridSpan w:val="4"/>
            <w:shd w:val="clear" w:color="auto" w:fill="auto"/>
          </w:tcPr>
          <w:p w:rsidR="003E3F0E" w:rsidRPr="00AC577F" w:rsidRDefault="003E3F0E" w:rsidP="00191DD3">
            <w:pPr>
              <w:rPr>
                <w:rFonts w:cs="Arial"/>
              </w:rPr>
            </w:pPr>
            <w:r>
              <w:rPr>
                <w:rFonts w:cs="Arial"/>
              </w:rPr>
              <w:t xml:space="preserve">Agreed. There is still some uncertainty about the rate of return any investor would get from investing in the Municipal Bond Agency if indeed there would be any at all. There are no plans to undertake prudential borrowing in the immediate future to fund capital expenditure and given latest announcements from the Chancellors Budget in July the authority will be looking to reassess all its future spending plans. When and if the authority has a requirement to borrow then it will consider all sources of finance. </w:t>
            </w:r>
          </w:p>
        </w:tc>
        <w:tc>
          <w:tcPr>
            <w:tcW w:w="1418" w:type="dxa"/>
          </w:tcPr>
          <w:p w:rsidR="003E3F0E" w:rsidRPr="008510EC" w:rsidRDefault="003E3F0E" w:rsidP="00191DD3">
            <w:pPr>
              <w:rPr>
                <w:rFonts w:cs="Arial"/>
                <w:sz w:val="22"/>
                <w:szCs w:val="22"/>
              </w:rPr>
            </w:pPr>
            <w:r w:rsidRPr="00EB2B57">
              <w:rPr>
                <w:rFonts w:cs="Arial"/>
                <w:sz w:val="22"/>
                <w:szCs w:val="22"/>
              </w:rPr>
              <w:t>Cllr Turner / Nigel Kennedy</w:t>
            </w:r>
          </w:p>
        </w:tc>
        <w:tc>
          <w:tcPr>
            <w:tcW w:w="1701" w:type="dxa"/>
            <w:gridSpan w:val="2"/>
          </w:tcPr>
          <w:p w:rsidR="003E3F0E" w:rsidRPr="008510EC" w:rsidRDefault="003E3F0E" w:rsidP="00191DD3">
            <w:pPr>
              <w:rPr>
                <w:rFonts w:cs="Arial"/>
                <w:sz w:val="22"/>
                <w:szCs w:val="22"/>
              </w:rPr>
            </w:pPr>
            <w:r>
              <w:rPr>
                <w:rFonts w:cs="Arial"/>
                <w:sz w:val="22"/>
                <w:szCs w:val="22"/>
              </w:rPr>
              <w:t>10 Sept CEB</w:t>
            </w:r>
          </w:p>
        </w:tc>
      </w:tr>
      <w:tr w:rsidR="003E3F0E" w:rsidRPr="008510EC" w:rsidTr="003E3F0E">
        <w:tc>
          <w:tcPr>
            <w:tcW w:w="4536" w:type="dxa"/>
            <w:shd w:val="clear" w:color="auto" w:fill="auto"/>
          </w:tcPr>
          <w:p w:rsidR="003E3F0E" w:rsidRPr="00AC577F" w:rsidRDefault="003E3F0E" w:rsidP="00191DD3">
            <w:pPr>
              <w:rPr>
                <w:rFonts w:cs="Arial"/>
              </w:rPr>
            </w:pPr>
            <w:r>
              <w:rPr>
                <w:rFonts w:cs="Arial"/>
              </w:rPr>
              <w:t>3. That the</w:t>
            </w:r>
            <w:r w:rsidRPr="00691EDF">
              <w:rPr>
                <w:rFonts w:cs="Arial"/>
              </w:rPr>
              <w:t xml:space="preserve"> Executive Member for Finance, in consultation with the Head of Financial Services, considers the case for the City Council making a £10k capital investment to become a minimum shareholder in the Municipal Bonds Agency before its first bond issuance, which is expected to take place in September 2015.  This investment would be made with no guarantee of a return but it would secure </w:t>
            </w:r>
            <w:r w:rsidRPr="00691EDF">
              <w:rPr>
                <w:rFonts w:cs="Arial"/>
              </w:rPr>
              <w:lastRenderedPageBreak/>
              <w:t>preferential interest rates on any future Council borrowing.</w:t>
            </w:r>
          </w:p>
        </w:tc>
        <w:tc>
          <w:tcPr>
            <w:tcW w:w="992" w:type="dxa"/>
            <w:gridSpan w:val="2"/>
            <w:shd w:val="clear" w:color="auto" w:fill="auto"/>
          </w:tcPr>
          <w:p w:rsidR="003E3F0E" w:rsidRPr="00AC577F" w:rsidRDefault="003E3F0E" w:rsidP="00191DD3">
            <w:pPr>
              <w:rPr>
                <w:rFonts w:cs="Arial"/>
              </w:rPr>
            </w:pPr>
            <w:r>
              <w:rPr>
                <w:rFonts w:cs="Arial"/>
              </w:rPr>
              <w:lastRenderedPageBreak/>
              <w:t>In Part</w:t>
            </w:r>
          </w:p>
        </w:tc>
        <w:tc>
          <w:tcPr>
            <w:tcW w:w="5245" w:type="dxa"/>
            <w:gridSpan w:val="4"/>
            <w:shd w:val="clear" w:color="auto" w:fill="auto"/>
          </w:tcPr>
          <w:p w:rsidR="003E3F0E" w:rsidRDefault="003E3F0E" w:rsidP="00191DD3">
            <w:pPr>
              <w:rPr>
                <w:rFonts w:cs="Arial"/>
              </w:rPr>
            </w:pPr>
            <w:r>
              <w:rPr>
                <w:rFonts w:cs="Arial"/>
              </w:rPr>
              <w:t xml:space="preserve">There still remains uncertainty as to the rationale behind investing in the MBA since the Council currently has no requirement to borrow in the immediate future. The preferential rate referred to (and mentioned at the Finance Panel by the representative of the MBA) is not referred to in any of the documentation submitted to the Council and therefore cannot be validated. Information obtained from the Council Treasury advisors, Capita suggest that there remains a number of unanswered </w:t>
            </w:r>
            <w:r>
              <w:rPr>
                <w:rFonts w:cs="Arial"/>
              </w:rPr>
              <w:lastRenderedPageBreak/>
              <w:t xml:space="preserve">questions </w:t>
            </w:r>
          </w:p>
          <w:p w:rsidR="003E3F0E" w:rsidRDefault="003E3F0E" w:rsidP="003E3F0E">
            <w:pPr>
              <w:numPr>
                <w:ilvl w:val="0"/>
                <w:numId w:val="21"/>
              </w:numPr>
              <w:rPr>
                <w:rFonts w:cs="Arial"/>
              </w:rPr>
            </w:pPr>
            <w:r>
              <w:rPr>
                <w:rFonts w:cs="Arial"/>
              </w:rPr>
              <w:t>Early paperwork from the MBA referred to a ‘new issue premium’ in the first year or two, it is uncertain whether early joiner borrowing authorities would voluntarily pay a higher interest rate</w:t>
            </w:r>
          </w:p>
          <w:p w:rsidR="003E3F0E" w:rsidRDefault="003E3F0E" w:rsidP="003E3F0E">
            <w:pPr>
              <w:numPr>
                <w:ilvl w:val="0"/>
                <w:numId w:val="21"/>
              </w:numPr>
              <w:rPr>
                <w:rFonts w:cs="Arial"/>
              </w:rPr>
            </w:pPr>
            <w:r>
              <w:rPr>
                <w:rFonts w:cs="Arial"/>
              </w:rPr>
              <w:t>There is a joint and several guarantee for investors, whilst this would presumably be in proportion to holding there may be a risk to the authority</w:t>
            </w:r>
          </w:p>
          <w:p w:rsidR="003E3F0E" w:rsidRDefault="003E3F0E" w:rsidP="003E3F0E">
            <w:pPr>
              <w:numPr>
                <w:ilvl w:val="0"/>
                <w:numId w:val="21"/>
              </w:numPr>
              <w:rPr>
                <w:rFonts w:cs="Arial"/>
              </w:rPr>
            </w:pPr>
            <w:r>
              <w:rPr>
                <w:rFonts w:cs="Arial"/>
              </w:rPr>
              <w:t xml:space="preserve">How flexible can the agency be around bond maturities and how will it ensure that its meets the requirements of its customers in terms of size, duration and interest rate. </w:t>
            </w:r>
          </w:p>
          <w:p w:rsidR="003E3F0E" w:rsidRDefault="003E3F0E" w:rsidP="003E3F0E">
            <w:pPr>
              <w:numPr>
                <w:ilvl w:val="0"/>
                <w:numId w:val="21"/>
              </w:numPr>
              <w:rPr>
                <w:rFonts w:cs="Arial"/>
              </w:rPr>
            </w:pPr>
            <w:r>
              <w:rPr>
                <w:rFonts w:cs="Arial"/>
              </w:rPr>
              <w:t>The MBA representative mentioned that the preferential rate for investors would be 2 or 3 basis points below the preferential bond rate for other investors (although this is by no means certain). Additionally rates move quickly and this differential could be wiped out quickly even before the overall costs of the bond are taken into consideration.</w:t>
            </w:r>
          </w:p>
          <w:p w:rsidR="003E3F0E" w:rsidRPr="00AC577F" w:rsidRDefault="003E3F0E" w:rsidP="00191DD3">
            <w:pPr>
              <w:rPr>
                <w:rFonts w:cs="Arial"/>
              </w:rPr>
            </w:pPr>
            <w:r w:rsidRPr="00B17A62">
              <w:rPr>
                <w:rFonts w:cs="Arial"/>
              </w:rPr>
              <w:t>Due to the level of uncertainties although a £10k ‘hedge’ may be seen as relatively small in the scale of the Council’s overall finances there are a number of important questions which need to be answered before such funds should be committed.</w:t>
            </w:r>
            <w:r>
              <w:rPr>
                <w:rFonts w:cs="Arial"/>
              </w:rPr>
              <w:t xml:space="preserve"> </w:t>
            </w:r>
            <w:r w:rsidRPr="00B17A62">
              <w:rPr>
                <w:rFonts w:cs="Arial"/>
              </w:rPr>
              <w:t xml:space="preserve"> Officers will undertake to investigate answers to these questions and either </w:t>
            </w:r>
            <w:proofErr w:type="gramStart"/>
            <w:r w:rsidRPr="00B17A62">
              <w:rPr>
                <w:rFonts w:cs="Arial"/>
              </w:rPr>
              <w:t>commit</w:t>
            </w:r>
            <w:proofErr w:type="gramEnd"/>
            <w:r w:rsidRPr="00B17A62">
              <w:rPr>
                <w:rFonts w:cs="Arial"/>
              </w:rPr>
              <w:t xml:space="preserve"> £10k if the answers suggest investment would be in the interests of the Council, or report back to CEB and Scrutiny </w:t>
            </w:r>
            <w:r w:rsidRPr="00B17A62">
              <w:rPr>
                <w:rFonts w:cs="Arial"/>
              </w:rPr>
              <w:lastRenderedPageBreak/>
              <w:t>within the next three months with the outcome of the investigation.</w:t>
            </w:r>
          </w:p>
        </w:tc>
        <w:tc>
          <w:tcPr>
            <w:tcW w:w="1418" w:type="dxa"/>
          </w:tcPr>
          <w:p w:rsidR="003E3F0E" w:rsidRPr="008510EC" w:rsidRDefault="003E3F0E" w:rsidP="00191DD3">
            <w:pPr>
              <w:rPr>
                <w:rFonts w:cs="Arial"/>
                <w:sz w:val="22"/>
                <w:szCs w:val="22"/>
              </w:rPr>
            </w:pPr>
            <w:r w:rsidRPr="00EB2B57">
              <w:rPr>
                <w:rFonts w:cs="Arial"/>
                <w:sz w:val="22"/>
                <w:szCs w:val="22"/>
              </w:rPr>
              <w:lastRenderedPageBreak/>
              <w:t>Cllr Turner / Nigel Kennedy</w:t>
            </w:r>
          </w:p>
        </w:tc>
        <w:tc>
          <w:tcPr>
            <w:tcW w:w="1701" w:type="dxa"/>
            <w:gridSpan w:val="2"/>
          </w:tcPr>
          <w:p w:rsidR="003E3F0E" w:rsidRPr="008510EC" w:rsidRDefault="007F368C" w:rsidP="00191DD3">
            <w:pPr>
              <w:rPr>
                <w:rFonts w:cs="Arial"/>
                <w:sz w:val="22"/>
                <w:szCs w:val="22"/>
              </w:rPr>
            </w:pPr>
            <w:r>
              <w:rPr>
                <w:rFonts w:cs="Arial"/>
                <w:sz w:val="22"/>
                <w:szCs w:val="22"/>
              </w:rPr>
              <w:t>29 Oct Finance Panel</w:t>
            </w:r>
          </w:p>
        </w:tc>
      </w:tr>
      <w:tr w:rsidR="003E3F0E" w:rsidRPr="008510EC" w:rsidTr="003E3F0E">
        <w:tc>
          <w:tcPr>
            <w:tcW w:w="4536" w:type="dxa"/>
            <w:shd w:val="clear" w:color="auto" w:fill="auto"/>
          </w:tcPr>
          <w:p w:rsidR="003E3F0E" w:rsidRPr="00AC577F" w:rsidRDefault="003E3F0E" w:rsidP="00191DD3">
            <w:pPr>
              <w:rPr>
                <w:rFonts w:cs="Arial"/>
              </w:rPr>
            </w:pPr>
            <w:r w:rsidRPr="00691EDF">
              <w:rPr>
                <w:rFonts w:cs="Arial"/>
              </w:rPr>
              <w:lastRenderedPageBreak/>
              <w:t xml:space="preserve">4. </w:t>
            </w:r>
            <w:r>
              <w:rPr>
                <w:rFonts w:cs="Arial"/>
              </w:rPr>
              <w:t>That i</w:t>
            </w:r>
            <w:r w:rsidRPr="00691EDF">
              <w:rPr>
                <w:rFonts w:cs="Arial"/>
              </w:rPr>
              <w:t>n considering whether to make a minimal investment (Recommendation 3), the Head of Financial Services speaks with one or more District Councils that have already signed up as shareholders in the Agency.</w:t>
            </w:r>
          </w:p>
        </w:tc>
        <w:tc>
          <w:tcPr>
            <w:tcW w:w="992" w:type="dxa"/>
            <w:gridSpan w:val="2"/>
            <w:shd w:val="clear" w:color="auto" w:fill="auto"/>
          </w:tcPr>
          <w:p w:rsidR="003E3F0E" w:rsidRPr="00AC577F" w:rsidRDefault="003E3F0E" w:rsidP="00191DD3">
            <w:pPr>
              <w:rPr>
                <w:rFonts w:cs="Arial"/>
              </w:rPr>
            </w:pPr>
            <w:r>
              <w:rPr>
                <w:rFonts w:cs="Arial"/>
              </w:rPr>
              <w:t>In part</w:t>
            </w:r>
          </w:p>
        </w:tc>
        <w:tc>
          <w:tcPr>
            <w:tcW w:w="5245" w:type="dxa"/>
            <w:gridSpan w:val="4"/>
            <w:shd w:val="clear" w:color="auto" w:fill="auto"/>
          </w:tcPr>
          <w:p w:rsidR="003E3F0E" w:rsidRPr="00AC577F" w:rsidRDefault="003E3F0E" w:rsidP="00191DD3">
            <w:pPr>
              <w:rPr>
                <w:rFonts w:cs="Arial"/>
              </w:rPr>
            </w:pPr>
            <w:r>
              <w:rPr>
                <w:rFonts w:cs="Arial"/>
              </w:rPr>
              <w:t xml:space="preserve">The MBA advise that there are 10 authorities who have invested £10k with the fund although it is not known who they are. To some extent it is irrelevant as to the reason why other authorities have invested in the fund since it is a matter of judgement for the Section 151 Officer of this authority in consultation with the Finance and Asset Portfolio Holder to decide whether to invest. </w:t>
            </w:r>
          </w:p>
        </w:tc>
        <w:tc>
          <w:tcPr>
            <w:tcW w:w="1418" w:type="dxa"/>
          </w:tcPr>
          <w:p w:rsidR="003E3F0E" w:rsidRPr="008510EC" w:rsidRDefault="003E3F0E" w:rsidP="00191DD3">
            <w:pPr>
              <w:rPr>
                <w:rFonts w:cs="Arial"/>
                <w:sz w:val="22"/>
                <w:szCs w:val="22"/>
              </w:rPr>
            </w:pPr>
            <w:r w:rsidRPr="00EB2B57">
              <w:rPr>
                <w:rFonts w:cs="Arial"/>
                <w:sz w:val="22"/>
                <w:szCs w:val="22"/>
              </w:rPr>
              <w:t>Cllr Turner / Nigel Kennedy</w:t>
            </w:r>
          </w:p>
        </w:tc>
        <w:tc>
          <w:tcPr>
            <w:tcW w:w="1701" w:type="dxa"/>
            <w:gridSpan w:val="2"/>
          </w:tcPr>
          <w:p w:rsidR="003E3F0E" w:rsidRPr="008510EC" w:rsidRDefault="007F368C" w:rsidP="00191DD3">
            <w:pPr>
              <w:rPr>
                <w:rFonts w:cs="Arial"/>
                <w:sz w:val="22"/>
                <w:szCs w:val="22"/>
              </w:rPr>
            </w:pPr>
            <w:r>
              <w:rPr>
                <w:rFonts w:cs="Arial"/>
                <w:sz w:val="22"/>
                <w:szCs w:val="22"/>
              </w:rPr>
              <w:t>N/A</w:t>
            </w:r>
            <w:bookmarkStart w:id="0" w:name="_GoBack"/>
            <w:bookmarkEnd w:id="0"/>
          </w:p>
        </w:tc>
      </w:tr>
      <w:tr w:rsidR="00BC1E44" w:rsidRPr="00B44C14" w:rsidTr="00BC1E44">
        <w:trPr>
          <w:trHeight w:val="430"/>
        </w:trPr>
        <w:tc>
          <w:tcPr>
            <w:tcW w:w="1389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BC1E44" w:rsidRPr="00B44C14" w:rsidRDefault="00BC1E44" w:rsidP="00190111">
            <w:pPr>
              <w:rPr>
                <w:rFonts w:cs="Arial"/>
                <w:b/>
                <w:bCs/>
                <w:sz w:val="22"/>
                <w:szCs w:val="22"/>
              </w:rPr>
            </w:pPr>
            <w:r>
              <w:rPr>
                <w:rFonts w:cs="Arial"/>
                <w:b/>
                <w:bCs/>
                <w:sz w:val="22"/>
                <w:szCs w:val="22"/>
              </w:rPr>
              <w:t>Integrated Performance Report for Quarter 4 2014/15 – Finance Panel 2 July</w:t>
            </w:r>
          </w:p>
        </w:tc>
      </w:tr>
      <w:tr w:rsidR="00BC1E44" w:rsidRPr="00B44C14" w:rsidTr="003E3F0E">
        <w:tc>
          <w:tcPr>
            <w:tcW w:w="4536" w:type="dxa"/>
            <w:shd w:val="clear" w:color="auto" w:fill="auto"/>
            <w:vAlign w:val="center"/>
          </w:tcPr>
          <w:p w:rsidR="00BC1E44" w:rsidRPr="00B44C14" w:rsidRDefault="00BC1E44" w:rsidP="00190111">
            <w:pPr>
              <w:rPr>
                <w:rFonts w:cs="Arial"/>
                <w:b/>
                <w:sz w:val="22"/>
                <w:szCs w:val="22"/>
              </w:rPr>
            </w:pPr>
            <w:r w:rsidRPr="00B44C14">
              <w:rPr>
                <w:rFonts w:cs="Arial"/>
                <w:b/>
                <w:sz w:val="22"/>
                <w:szCs w:val="22"/>
              </w:rPr>
              <w:t>Recommendation</w:t>
            </w:r>
          </w:p>
        </w:tc>
        <w:tc>
          <w:tcPr>
            <w:tcW w:w="992" w:type="dxa"/>
            <w:gridSpan w:val="2"/>
            <w:shd w:val="clear" w:color="auto" w:fill="auto"/>
            <w:vAlign w:val="center"/>
          </w:tcPr>
          <w:p w:rsidR="00BC1E44" w:rsidRPr="00B44C14" w:rsidRDefault="00BC1E44" w:rsidP="00190111">
            <w:pPr>
              <w:rPr>
                <w:rFonts w:cs="Arial"/>
                <w:b/>
                <w:sz w:val="22"/>
                <w:szCs w:val="22"/>
              </w:rPr>
            </w:pPr>
            <w:r w:rsidRPr="00B44C14">
              <w:rPr>
                <w:rFonts w:cs="Arial"/>
                <w:b/>
                <w:sz w:val="22"/>
                <w:szCs w:val="22"/>
              </w:rPr>
              <w:t>Agreed Y/N</w:t>
            </w:r>
          </w:p>
        </w:tc>
        <w:tc>
          <w:tcPr>
            <w:tcW w:w="5245" w:type="dxa"/>
            <w:gridSpan w:val="4"/>
            <w:shd w:val="clear" w:color="auto" w:fill="auto"/>
            <w:vAlign w:val="center"/>
          </w:tcPr>
          <w:p w:rsidR="00BC1E44" w:rsidRPr="00B44C14" w:rsidRDefault="00BC1E44" w:rsidP="00190111">
            <w:pPr>
              <w:rPr>
                <w:rFonts w:cs="Arial"/>
                <w:b/>
                <w:sz w:val="22"/>
                <w:szCs w:val="22"/>
              </w:rPr>
            </w:pPr>
            <w:r w:rsidRPr="00B44C14">
              <w:rPr>
                <w:rFonts w:cs="Arial"/>
                <w:b/>
                <w:sz w:val="22"/>
                <w:szCs w:val="22"/>
              </w:rPr>
              <w:t>Executive response</w:t>
            </w:r>
          </w:p>
        </w:tc>
        <w:tc>
          <w:tcPr>
            <w:tcW w:w="1418" w:type="dxa"/>
            <w:vAlign w:val="center"/>
          </w:tcPr>
          <w:p w:rsidR="00BC1E44" w:rsidRPr="00B44C14" w:rsidRDefault="00BC1E44" w:rsidP="00190111">
            <w:pPr>
              <w:rPr>
                <w:rFonts w:cs="Arial"/>
                <w:b/>
                <w:sz w:val="22"/>
                <w:szCs w:val="22"/>
              </w:rPr>
            </w:pPr>
            <w:r w:rsidRPr="00B44C14">
              <w:rPr>
                <w:rFonts w:cs="Arial"/>
                <w:b/>
                <w:sz w:val="22"/>
                <w:szCs w:val="22"/>
              </w:rPr>
              <w:t xml:space="preserve">Lead Member &amp; Officer </w:t>
            </w:r>
          </w:p>
        </w:tc>
        <w:tc>
          <w:tcPr>
            <w:tcW w:w="1701" w:type="dxa"/>
            <w:gridSpan w:val="2"/>
            <w:vAlign w:val="center"/>
          </w:tcPr>
          <w:p w:rsidR="00BC1E44" w:rsidRPr="00B44C14" w:rsidRDefault="00BC1E44" w:rsidP="00190111">
            <w:pPr>
              <w:rPr>
                <w:rFonts w:cs="Arial"/>
                <w:b/>
                <w:sz w:val="22"/>
                <w:szCs w:val="22"/>
              </w:rPr>
            </w:pPr>
            <w:r w:rsidRPr="00B44C14">
              <w:rPr>
                <w:rFonts w:cs="Arial"/>
                <w:b/>
                <w:sz w:val="22"/>
                <w:szCs w:val="22"/>
              </w:rPr>
              <w:t>Implemented Y/N / due date</w:t>
            </w:r>
          </w:p>
        </w:tc>
      </w:tr>
      <w:tr w:rsidR="00BC1E44" w:rsidRPr="008510EC" w:rsidTr="003E3F0E">
        <w:tc>
          <w:tcPr>
            <w:tcW w:w="4536" w:type="dxa"/>
            <w:shd w:val="clear" w:color="auto" w:fill="auto"/>
          </w:tcPr>
          <w:p w:rsidR="00BC1E44" w:rsidRPr="008510EC" w:rsidRDefault="00BC1E44" w:rsidP="00190111">
            <w:pPr>
              <w:rPr>
                <w:rFonts w:cs="Arial"/>
                <w:sz w:val="22"/>
                <w:szCs w:val="22"/>
              </w:rPr>
            </w:pPr>
            <w:r w:rsidRPr="008510EC">
              <w:rPr>
                <w:rFonts w:cs="Arial"/>
                <w:sz w:val="22"/>
                <w:szCs w:val="22"/>
              </w:rPr>
              <w:t>1. The General Fund outturn position for 2014-15 - a favourable variance of £1.808m which is mainly due to increased income - is a very good outcome and we recommend that officers are congratulated on overachieving against income targets.</w:t>
            </w:r>
          </w:p>
        </w:tc>
        <w:tc>
          <w:tcPr>
            <w:tcW w:w="992" w:type="dxa"/>
            <w:gridSpan w:val="2"/>
            <w:shd w:val="clear" w:color="auto" w:fill="auto"/>
          </w:tcPr>
          <w:p w:rsidR="00BC1E44" w:rsidRPr="008510EC" w:rsidRDefault="00BC1E44" w:rsidP="00190111">
            <w:pPr>
              <w:rPr>
                <w:rFonts w:cs="Arial"/>
                <w:sz w:val="22"/>
                <w:szCs w:val="22"/>
              </w:rPr>
            </w:pPr>
            <w:r>
              <w:rPr>
                <w:rFonts w:cs="Arial"/>
                <w:sz w:val="22"/>
                <w:szCs w:val="22"/>
              </w:rPr>
              <w:t>Y</w:t>
            </w:r>
          </w:p>
        </w:tc>
        <w:tc>
          <w:tcPr>
            <w:tcW w:w="5245" w:type="dxa"/>
            <w:gridSpan w:val="4"/>
            <w:shd w:val="clear" w:color="auto" w:fill="auto"/>
          </w:tcPr>
          <w:p w:rsidR="00BC1E44" w:rsidRPr="008510EC" w:rsidRDefault="00BC1E44" w:rsidP="00190111">
            <w:pPr>
              <w:rPr>
                <w:rFonts w:cs="Arial"/>
                <w:sz w:val="22"/>
                <w:szCs w:val="22"/>
              </w:rPr>
            </w:pPr>
            <w:r w:rsidRPr="00EB2B57">
              <w:rPr>
                <w:rFonts w:cs="Arial"/>
                <w:sz w:val="22"/>
                <w:szCs w:val="22"/>
              </w:rPr>
              <w:t>The favourable variance has largely arisen from increased income arising from commercial property rents, engineering works and other income. As deputy leader, I quite agree that officers are to be congratulated.</w:t>
            </w:r>
          </w:p>
        </w:tc>
        <w:tc>
          <w:tcPr>
            <w:tcW w:w="1418" w:type="dxa"/>
          </w:tcPr>
          <w:p w:rsidR="00BC1E44" w:rsidRPr="008510EC" w:rsidRDefault="00BC1E44" w:rsidP="00190111">
            <w:pPr>
              <w:rPr>
                <w:rFonts w:cs="Arial"/>
                <w:sz w:val="22"/>
                <w:szCs w:val="22"/>
              </w:rPr>
            </w:pPr>
            <w:r>
              <w:rPr>
                <w:rFonts w:cs="Arial"/>
                <w:sz w:val="22"/>
                <w:szCs w:val="22"/>
              </w:rPr>
              <w:t>Cllr Turner / Nigel Kennedy</w:t>
            </w:r>
          </w:p>
        </w:tc>
        <w:tc>
          <w:tcPr>
            <w:tcW w:w="1701" w:type="dxa"/>
            <w:gridSpan w:val="2"/>
          </w:tcPr>
          <w:p w:rsidR="00BC1E44" w:rsidRPr="008510EC" w:rsidRDefault="00BC1E44" w:rsidP="00190111">
            <w:pPr>
              <w:rPr>
                <w:rFonts w:cs="Arial"/>
                <w:sz w:val="22"/>
                <w:szCs w:val="22"/>
              </w:rPr>
            </w:pPr>
            <w:r>
              <w:rPr>
                <w:rFonts w:cs="Arial"/>
                <w:sz w:val="22"/>
                <w:szCs w:val="22"/>
              </w:rPr>
              <w:t>Y</w:t>
            </w:r>
          </w:p>
        </w:tc>
      </w:tr>
      <w:tr w:rsidR="00BC1E44" w:rsidRPr="008510EC" w:rsidTr="003E3F0E">
        <w:tc>
          <w:tcPr>
            <w:tcW w:w="4536" w:type="dxa"/>
            <w:shd w:val="clear" w:color="auto" w:fill="auto"/>
          </w:tcPr>
          <w:p w:rsidR="00BC1E44" w:rsidRPr="008510EC" w:rsidRDefault="00BC1E44" w:rsidP="00190111">
            <w:pPr>
              <w:rPr>
                <w:rFonts w:cs="Arial"/>
                <w:sz w:val="22"/>
                <w:szCs w:val="22"/>
              </w:rPr>
            </w:pPr>
            <w:r w:rsidRPr="008510EC">
              <w:rPr>
                <w:rFonts w:cs="Arial"/>
                <w:sz w:val="22"/>
                <w:szCs w:val="22"/>
              </w:rPr>
              <w:t xml:space="preserve">2. We support the transfer of £1.4m to a Dry </w:t>
            </w:r>
            <w:proofErr w:type="spellStart"/>
            <w:r w:rsidRPr="008510EC">
              <w:rPr>
                <w:rFonts w:cs="Arial"/>
                <w:sz w:val="22"/>
                <w:szCs w:val="22"/>
              </w:rPr>
              <w:t>Recyclate</w:t>
            </w:r>
            <w:proofErr w:type="spellEnd"/>
            <w:r w:rsidRPr="008510EC">
              <w:rPr>
                <w:rFonts w:cs="Arial"/>
                <w:sz w:val="22"/>
                <w:szCs w:val="22"/>
              </w:rPr>
              <w:t xml:space="preserve"> Reserve and recommend that the City Council urgently assesses options for significantly mitigating this serious budget pressure, including exploring the possibility of building and operating a waste transfer station and changing the Council’s waste collection system.</w:t>
            </w:r>
          </w:p>
        </w:tc>
        <w:tc>
          <w:tcPr>
            <w:tcW w:w="992" w:type="dxa"/>
            <w:gridSpan w:val="2"/>
            <w:shd w:val="clear" w:color="auto" w:fill="auto"/>
          </w:tcPr>
          <w:p w:rsidR="00BC1E44" w:rsidRPr="008510EC" w:rsidRDefault="00BC1E44" w:rsidP="00190111">
            <w:pPr>
              <w:rPr>
                <w:rFonts w:cs="Arial"/>
                <w:sz w:val="22"/>
                <w:szCs w:val="22"/>
              </w:rPr>
            </w:pPr>
            <w:r>
              <w:rPr>
                <w:rFonts w:cs="Arial"/>
                <w:sz w:val="22"/>
                <w:szCs w:val="22"/>
              </w:rPr>
              <w:t>Y</w:t>
            </w:r>
          </w:p>
        </w:tc>
        <w:tc>
          <w:tcPr>
            <w:tcW w:w="5245" w:type="dxa"/>
            <w:gridSpan w:val="4"/>
            <w:shd w:val="clear" w:color="auto" w:fill="auto"/>
          </w:tcPr>
          <w:p w:rsidR="00BC1E44" w:rsidRPr="008510EC" w:rsidRDefault="00BC1E44" w:rsidP="00190111">
            <w:pPr>
              <w:rPr>
                <w:rFonts w:cs="Arial"/>
                <w:sz w:val="22"/>
                <w:szCs w:val="22"/>
              </w:rPr>
            </w:pPr>
            <w:r w:rsidRPr="00EB2B57">
              <w:rPr>
                <w:rFonts w:cs="Arial"/>
                <w:sz w:val="22"/>
                <w:szCs w:val="22"/>
              </w:rPr>
              <w:t xml:space="preserve">The Council is exploring a number of options to mitigate budgetary pressures around dry </w:t>
            </w:r>
            <w:proofErr w:type="spellStart"/>
            <w:r w:rsidRPr="00EB2B57">
              <w:rPr>
                <w:rFonts w:cs="Arial"/>
                <w:sz w:val="22"/>
                <w:szCs w:val="22"/>
              </w:rPr>
              <w:t>recyclate</w:t>
            </w:r>
            <w:proofErr w:type="spellEnd"/>
            <w:r w:rsidRPr="00EB2B57">
              <w:rPr>
                <w:rFonts w:cs="Arial"/>
                <w:sz w:val="22"/>
                <w:szCs w:val="22"/>
              </w:rPr>
              <w:t xml:space="preserve"> which have become apparent during negotiations for the renewal of the contract with the current waste transfer station provider. Due to changes in the market price for </w:t>
            </w:r>
            <w:proofErr w:type="spellStart"/>
            <w:r w:rsidRPr="00EB2B57">
              <w:rPr>
                <w:rFonts w:cs="Arial"/>
                <w:sz w:val="22"/>
                <w:szCs w:val="22"/>
              </w:rPr>
              <w:t>recyclate</w:t>
            </w:r>
            <w:proofErr w:type="spellEnd"/>
            <w:r w:rsidRPr="00EB2B57">
              <w:rPr>
                <w:rFonts w:cs="Arial"/>
                <w:sz w:val="22"/>
                <w:szCs w:val="22"/>
              </w:rPr>
              <w:t xml:space="preserve"> the current provider is seeking significant increases in gate fees in order to ensure the viability of the current operation.  </w:t>
            </w:r>
          </w:p>
        </w:tc>
        <w:tc>
          <w:tcPr>
            <w:tcW w:w="1418" w:type="dxa"/>
          </w:tcPr>
          <w:p w:rsidR="00BC1E44" w:rsidRPr="008510EC" w:rsidRDefault="00BC1E44" w:rsidP="00190111">
            <w:pPr>
              <w:rPr>
                <w:rFonts w:cs="Arial"/>
                <w:sz w:val="22"/>
                <w:szCs w:val="22"/>
              </w:rPr>
            </w:pPr>
            <w:r w:rsidRPr="00EB2B57">
              <w:rPr>
                <w:rFonts w:cs="Arial"/>
                <w:sz w:val="22"/>
                <w:szCs w:val="22"/>
              </w:rPr>
              <w:t>Cllr Turner / Nigel Kennedy</w:t>
            </w:r>
          </w:p>
        </w:tc>
        <w:tc>
          <w:tcPr>
            <w:tcW w:w="1701" w:type="dxa"/>
            <w:gridSpan w:val="2"/>
          </w:tcPr>
          <w:p w:rsidR="00BC1E44" w:rsidRPr="008510EC" w:rsidRDefault="00BC1E44" w:rsidP="00190111">
            <w:pPr>
              <w:rPr>
                <w:rFonts w:cs="Arial"/>
                <w:sz w:val="22"/>
                <w:szCs w:val="22"/>
              </w:rPr>
            </w:pPr>
            <w:r>
              <w:rPr>
                <w:rFonts w:cs="Arial"/>
                <w:sz w:val="22"/>
                <w:szCs w:val="22"/>
              </w:rPr>
              <w:t>Recycling Panel to monitor</w:t>
            </w:r>
          </w:p>
        </w:tc>
      </w:tr>
      <w:tr w:rsidR="00BC1E44" w:rsidRPr="008510EC" w:rsidTr="003E3F0E">
        <w:tc>
          <w:tcPr>
            <w:tcW w:w="4536" w:type="dxa"/>
            <w:shd w:val="clear" w:color="auto" w:fill="auto"/>
          </w:tcPr>
          <w:p w:rsidR="00BC1E44" w:rsidRPr="008510EC" w:rsidRDefault="00BC1E44" w:rsidP="00190111">
            <w:pPr>
              <w:rPr>
                <w:rFonts w:cs="Arial"/>
                <w:sz w:val="22"/>
                <w:szCs w:val="22"/>
              </w:rPr>
            </w:pPr>
            <w:r w:rsidRPr="008510EC">
              <w:rPr>
                <w:rFonts w:cs="Arial"/>
                <w:sz w:val="22"/>
                <w:szCs w:val="22"/>
              </w:rPr>
              <w:t xml:space="preserve">3. We note that there are 4 red performance indicators against Meeting Housing Needs but only 3 are explained in the Corporate Summary.  We recommend that this is corrected and that fuller explanations are given for the amber risks relating to Environmental Development (section 4.3 in </w:t>
            </w:r>
            <w:r w:rsidRPr="008510EC">
              <w:rPr>
                <w:rFonts w:cs="Arial"/>
                <w:sz w:val="22"/>
                <w:szCs w:val="22"/>
              </w:rPr>
              <w:lastRenderedPageBreak/>
              <w:t>the Community Services Directorate).</w:t>
            </w:r>
          </w:p>
        </w:tc>
        <w:tc>
          <w:tcPr>
            <w:tcW w:w="992" w:type="dxa"/>
            <w:gridSpan w:val="2"/>
            <w:shd w:val="clear" w:color="auto" w:fill="auto"/>
          </w:tcPr>
          <w:p w:rsidR="00BC1E44" w:rsidRPr="008510EC" w:rsidRDefault="00BC1E44" w:rsidP="00190111">
            <w:pPr>
              <w:rPr>
                <w:rFonts w:cs="Arial"/>
                <w:sz w:val="22"/>
                <w:szCs w:val="22"/>
              </w:rPr>
            </w:pPr>
            <w:r>
              <w:rPr>
                <w:rFonts w:cs="Arial"/>
                <w:sz w:val="22"/>
                <w:szCs w:val="22"/>
              </w:rPr>
              <w:lastRenderedPageBreak/>
              <w:t>In part</w:t>
            </w:r>
          </w:p>
        </w:tc>
        <w:tc>
          <w:tcPr>
            <w:tcW w:w="5245" w:type="dxa"/>
            <w:gridSpan w:val="4"/>
            <w:shd w:val="clear" w:color="auto" w:fill="auto"/>
          </w:tcPr>
          <w:p w:rsidR="00BC1E44" w:rsidRPr="008510EC" w:rsidRDefault="00BC1E44" w:rsidP="00190111">
            <w:pPr>
              <w:rPr>
                <w:rFonts w:cs="Arial"/>
                <w:sz w:val="22"/>
                <w:szCs w:val="22"/>
              </w:rPr>
            </w:pPr>
            <w:r w:rsidRPr="00EB2B57">
              <w:rPr>
                <w:rFonts w:cs="Arial"/>
                <w:sz w:val="22"/>
                <w:szCs w:val="22"/>
              </w:rPr>
              <w:t>The missing red performance indicator for Meeting Housing Needs relates to Tenant satisfaction with their Estates; this has been discussed in a previous report and there is no new data.</w:t>
            </w:r>
            <w:r>
              <w:rPr>
                <w:rFonts w:cs="Arial"/>
                <w:sz w:val="22"/>
                <w:szCs w:val="22"/>
              </w:rPr>
              <w:t xml:space="preserve"> </w:t>
            </w:r>
            <w:r w:rsidRPr="00EB2B57">
              <w:rPr>
                <w:rFonts w:cs="Arial"/>
                <w:sz w:val="22"/>
                <w:szCs w:val="22"/>
              </w:rPr>
              <w:t xml:space="preserve">Further </w:t>
            </w:r>
            <w:proofErr w:type="gramStart"/>
            <w:r w:rsidRPr="00EB2B57">
              <w:rPr>
                <w:rFonts w:cs="Arial"/>
                <w:sz w:val="22"/>
                <w:szCs w:val="22"/>
              </w:rPr>
              <w:t>explanation on the risks within Environmental Development are</w:t>
            </w:r>
            <w:proofErr w:type="gramEnd"/>
            <w:r w:rsidRPr="00EB2B57">
              <w:rPr>
                <w:rFonts w:cs="Arial"/>
                <w:sz w:val="22"/>
                <w:szCs w:val="22"/>
              </w:rPr>
              <w:t xml:space="preserve"> included in the attached appendix.</w:t>
            </w:r>
          </w:p>
        </w:tc>
        <w:tc>
          <w:tcPr>
            <w:tcW w:w="1418" w:type="dxa"/>
          </w:tcPr>
          <w:p w:rsidR="00BC1E44" w:rsidRPr="008510EC" w:rsidRDefault="00BC1E44" w:rsidP="00190111">
            <w:pPr>
              <w:rPr>
                <w:rFonts w:cs="Arial"/>
                <w:sz w:val="22"/>
                <w:szCs w:val="22"/>
              </w:rPr>
            </w:pPr>
            <w:r w:rsidRPr="00EB2B57">
              <w:rPr>
                <w:rFonts w:cs="Arial"/>
                <w:sz w:val="22"/>
                <w:szCs w:val="22"/>
              </w:rPr>
              <w:t>Cllr Turner / Nigel Kennedy</w:t>
            </w:r>
          </w:p>
        </w:tc>
        <w:tc>
          <w:tcPr>
            <w:tcW w:w="1701" w:type="dxa"/>
            <w:gridSpan w:val="2"/>
          </w:tcPr>
          <w:p w:rsidR="00BC1E44" w:rsidRPr="008510EC" w:rsidRDefault="00BC1E44" w:rsidP="00190111">
            <w:pPr>
              <w:rPr>
                <w:rFonts w:cs="Arial"/>
                <w:sz w:val="22"/>
                <w:szCs w:val="22"/>
              </w:rPr>
            </w:pPr>
            <w:r>
              <w:rPr>
                <w:rFonts w:cs="Arial"/>
                <w:sz w:val="22"/>
                <w:szCs w:val="22"/>
              </w:rPr>
              <w:t>N/A</w:t>
            </w:r>
          </w:p>
        </w:tc>
      </w:tr>
      <w:tr w:rsidR="00BC1E44" w:rsidRPr="008510EC" w:rsidTr="003E3F0E">
        <w:tc>
          <w:tcPr>
            <w:tcW w:w="4536" w:type="dxa"/>
            <w:shd w:val="clear" w:color="auto" w:fill="auto"/>
          </w:tcPr>
          <w:p w:rsidR="00BC1E44" w:rsidRPr="008510EC" w:rsidRDefault="00BC1E44" w:rsidP="00190111">
            <w:pPr>
              <w:rPr>
                <w:rFonts w:cs="Arial"/>
                <w:sz w:val="22"/>
                <w:szCs w:val="22"/>
              </w:rPr>
            </w:pPr>
            <w:r w:rsidRPr="008510EC">
              <w:rPr>
                <w:rFonts w:cs="Arial"/>
                <w:sz w:val="22"/>
                <w:szCs w:val="22"/>
              </w:rPr>
              <w:lastRenderedPageBreak/>
              <w:t xml:space="preserve">4. </w:t>
            </w:r>
            <w:r>
              <w:rPr>
                <w:rFonts w:cs="Arial"/>
                <w:sz w:val="22"/>
                <w:szCs w:val="22"/>
              </w:rPr>
              <w:t>T</w:t>
            </w:r>
            <w:r w:rsidRPr="008510EC">
              <w:rPr>
                <w:rFonts w:cs="Arial"/>
                <w:sz w:val="22"/>
                <w:szCs w:val="22"/>
              </w:rPr>
              <w:t>hat the City Executive Board considers:</w:t>
            </w:r>
          </w:p>
          <w:p w:rsidR="00BC1E44" w:rsidRPr="008510EC" w:rsidRDefault="00BC1E44" w:rsidP="00190111">
            <w:pPr>
              <w:rPr>
                <w:rFonts w:cs="Arial"/>
                <w:sz w:val="22"/>
                <w:szCs w:val="22"/>
              </w:rPr>
            </w:pPr>
            <w:r w:rsidRPr="008510EC">
              <w:rPr>
                <w:rFonts w:cs="Arial"/>
                <w:sz w:val="22"/>
                <w:szCs w:val="22"/>
              </w:rPr>
              <w:t>a) Re-directing a relatively small portion of the under-spend towards addressing homelessness, where it could potentially go a long way;</w:t>
            </w:r>
          </w:p>
          <w:p w:rsidR="00BC1E44" w:rsidRPr="008510EC" w:rsidRDefault="00BC1E44" w:rsidP="00190111">
            <w:pPr>
              <w:rPr>
                <w:rFonts w:cs="Arial"/>
                <w:sz w:val="22"/>
                <w:szCs w:val="22"/>
              </w:rPr>
            </w:pPr>
            <w:r w:rsidRPr="008510EC">
              <w:rPr>
                <w:rFonts w:cs="Arial"/>
                <w:sz w:val="22"/>
                <w:szCs w:val="22"/>
              </w:rPr>
              <w:t>b) Other potential uses for part of the under-spend in improving performance against corporate targets, including investing in an additional HMO licensing officer.</w:t>
            </w:r>
          </w:p>
        </w:tc>
        <w:tc>
          <w:tcPr>
            <w:tcW w:w="992" w:type="dxa"/>
            <w:gridSpan w:val="2"/>
            <w:shd w:val="clear" w:color="auto" w:fill="auto"/>
          </w:tcPr>
          <w:p w:rsidR="00BC1E44" w:rsidRPr="008510EC" w:rsidRDefault="00BC1E44" w:rsidP="00190111">
            <w:pPr>
              <w:rPr>
                <w:rFonts w:cs="Arial"/>
                <w:sz w:val="22"/>
                <w:szCs w:val="22"/>
              </w:rPr>
            </w:pPr>
            <w:r>
              <w:rPr>
                <w:rFonts w:cs="Arial"/>
                <w:sz w:val="22"/>
                <w:szCs w:val="22"/>
              </w:rPr>
              <w:t>N</w:t>
            </w:r>
          </w:p>
        </w:tc>
        <w:tc>
          <w:tcPr>
            <w:tcW w:w="5245" w:type="dxa"/>
            <w:gridSpan w:val="4"/>
            <w:shd w:val="clear" w:color="auto" w:fill="auto"/>
          </w:tcPr>
          <w:p w:rsidR="00BC1E44" w:rsidRPr="008510EC" w:rsidRDefault="00BC1E44" w:rsidP="00190111">
            <w:pPr>
              <w:rPr>
                <w:rFonts w:cs="Arial"/>
                <w:sz w:val="22"/>
                <w:szCs w:val="22"/>
              </w:rPr>
            </w:pPr>
            <w:r w:rsidRPr="00EB2B57">
              <w:rPr>
                <w:rFonts w:cs="Arial"/>
                <w:sz w:val="22"/>
                <w:szCs w:val="22"/>
              </w:rPr>
              <w:t>The under</w:t>
            </w:r>
            <w:r>
              <w:rPr>
                <w:rFonts w:cs="Arial"/>
                <w:sz w:val="22"/>
                <w:szCs w:val="22"/>
              </w:rPr>
              <w:t>-</w:t>
            </w:r>
            <w:r w:rsidRPr="00EB2B57">
              <w:rPr>
                <w:rFonts w:cs="Arial"/>
                <w:sz w:val="22"/>
                <w:szCs w:val="22"/>
              </w:rPr>
              <w:t>spends from 2014/15 has been transferred to earmarked reserves largely to mitigate future budgetary pressures. A small proportion has been transferred to the capital funding reserve which is considered prudent given the size of the council’s capital programme.   There is already a substantive reserve available for the area of homelessness and this can be used if needed.  HMO licensing is currently being consulted on and it will be appropriate to consider whether the staffing resource is adequate as part of the response to that consultation.</w:t>
            </w:r>
          </w:p>
        </w:tc>
        <w:tc>
          <w:tcPr>
            <w:tcW w:w="1418" w:type="dxa"/>
          </w:tcPr>
          <w:p w:rsidR="00BC1E44" w:rsidRPr="008510EC" w:rsidRDefault="00BC1E44" w:rsidP="00190111">
            <w:pPr>
              <w:rPr>
                <w:rFonts w:cs="Arial"/>
                <w:sz w:val="22"/>
                <w:szCs w:val="22"/>
              </w:rPr>
            </w:pPr>
            <w:r w:rsidRPr="00EB2B57">
              <w:rPr>
                <w:rFonts w:cs="Arial"/>
                <w:sz w:val="22"/>
                <w:szCs w:val="22"/>
              </w:rPr>
              <w:t>Cllr Turner / Nigel Kennedy</w:t>
            </w:r>
          </w:p>
        </w:tc>
        <w:tc>
          <w:tcPr>
            <w:tcW w:w="1701" w:type="dxa"/>
            <w:gridSpan w:val="2"/>
          </w:tcPr>
          <w:p w:rsidR="00BC1E44" w:rsidRPr="008510EC" w:rsidRDefault="00BC1E44" w:rsidP="00190111">
            <w:pPr>
              <w:rPr>
                <w:rFonts w:cs="Arial"/>
                <w:sz w:val="22"/>
                <w:szCs w:val="22"/>
              </w:rPr>
            </w:pPr>
            <w:r>
              <w:rPr>
                <w:rFonts w:cs="Arial"/>
                <w:sz w:val="22"/>
                <w:szCs w:val="22"/>
              </w:rPr>
              <w:t>N/A</w:t>
            </w:r>
          </w:p>
        </w:tc>
      </w:tr>
      <w:tr w:rsidR="00BC1E44" w:rsidRPr="008510EC" w:rsidTr="003E3F0E">
        <w:tc>
          <w:tcPr>
            <w:tcW w:w="4536" w:type="dxa"/>
            <w:shd w:val="clear" w:color="auto" w:fill="auto"/>
          </w:tcPr>
          <w:p w:rsidR="00BC1E44" w:rsidRPr="008510EC" w:rsidRDefault="00BC1E44" w:rsidP="00190111">
            <w:pPr>
              <w:rPr>
                <w:rFonts w:cs="Arial"/>
                <w:sz w:val="22"/>
                <w:szCs w:val="22"/>
              </w:rPr>
            </w:pPr>
            <w:r w:rsidRPr="008510EC">
              <w:rPr>
                <w:rFonts w:cs="Arial"/>
                <w:sz w:val="22"/>
                <w:szCs w:val="22"/>
              </w:rPr>
              <w:t xml:space="preserve">5. </w:t>
            </w:r>
            <w:r>
              <w:rPr>
                <w:rFonts w:cs="Arial"/>
                <w:sz w:val="22"/>
                <w:szCs w:val="22"/>
              </w:rPr>
              <w:t>T</w:t>
            </w:r>
            <w:r w:rsidRPr="008510EC">
              <w:rPr>
                <w:rFonts w:cs="Arial"/>
                <w:sz w:val="22"/>
                <w:szCs w:val="22"/>
              </w:rPr>
              <w:t>hat the City Council continues to embed and improve the capital gateway process to further reduce capital slippage.</w:t>
            </w:r>
          </w:p>
        </w:tc>
        <w:tc>
          <w:tcPr>
            <w:tcW w:w="992" w:type="dxa"/>
            <w:gridSpan w:val="2"/>
            <w:shd w:val="clear" w:color="auto" w:fill="auto"/>
          </w:tcPr>
          <w:p w:rsidR="00BC1E44" w:rsidRPr="008510EC" w:rsidRDefault="00BC1E44" w:rsidP="00190111">
            <w:pPr>
              <w:rPr>
                <w:rFonts w:cs="Arial"/>
                <w:sz w:val="22"/>
                <w:szCs w:val="22"/>
              </w:rPr>
            </w:pPr>
            <w:r>
              <w:rPr>
                <w:rFonts w:cs="Arial"/>
                <w:sz w:val="22"/>
                <w:szCs w:val="22"/>
              </w:rPr>
              <w:t>Y</w:t>
            </w:r>
          </w:p>
        </w:tc>
        <w:tc>
          <w:tcPr>
            <w:tcW w:w="5245" w:type="dxa"/>
            <w:gridSpan w:val="4"/>
            <w:shd w:val="clear" w:color="auto" w:fill="auto"/>
          </w:tcPr>
          <w:p w:rsidR="00BC1E44" w:rsidRPr="008510EC" w:rsidRDefault="00BC1E44" w:rsidP="00190111">
            <w:pPr>
              <w:rPr>
                <w:rFonts w:cs="Arial"/>
                <w:sz w:val="22"/>
                <w:szCs w:val="22"/>
              </w:rPr>
            </w:pPr>
            <w:r w:rsidRPr="00EB2B57">
              <w:rPr>
                <w:rFonts w:cs="Arial"/>
                <w:sz w:val="22"/>
                <w:szCs w:val="22"/>
              </w:rPr>
              <w:t>The overall slippage on the capital budget was around £15million in comparison to the original budget of £63million. This primarily related to three schemes, Rose Hill Community Centre, Affordable Homes Programme, and Vehicles. The average spend on capital over the last 9 years has been around £20million and the delivery of £48.7 million in 2014/15 is significantly above this. The Council will continue to embed and improve its monitoring through the Capital Gateway process</w:t>
            </w:r>
          </w:p>
        </w:tc>
        <w:tc>
          <w:tcPr>
            <w:tcW w:w="1418" w:type="dxa"/>
          </w:tcPr>
          <w:p w:rsidR="00BC1E44" w:rsidRPr="008510EC" w:rsidRDefault="00BC1E44" w:rsidP="00190111">
            <w:pPr>
              <w:rPr>
                <w:rFonts w:cs="Arial"/>
                <w:sz w:val="22"/>
                <w:szCs w:val="22"/>
              </w:rPr>
            </w:pPr>
            <w:r w:rsidRPr="00EB2B57">
              <w:rPr>
                <w:rFonts w:cs="Arial"/>
                <w:sz w:val="22"/>
                <w:szCs w:val="22"/>
              </w:rPr>
              <w:t>Cllr Turner / Nigel Kennedy</w:t>
            </w:r>
          </w:p>
        </w:tc>
        <w:tc>
          <w:tcPr>
            <w:tcW w:w="1701" w:type="dxa"/>
            <w:gridSpan w:val="2"/>
          </w:tcPr>
          <w:p w:rsidR="00BC1E44" w:rsidRPr="008510EC" w:rsidRDefault="00BC1E44" w:rsidP="00190111">
            <w:pPr>
              <w:rPr>
                <w:rFonts w:cs="Arial"/>
                <w:sz w:val="22"/>
                <w:szCs w:val="22"/>
              </w:rPr>
            </w:pPr>
            <w:r>
              <w:rPr>
                <w:rFonts w:cs="Arial"/>
                <w:sz w:val="22"/>
                <w:szCs w:val="22"/>
              </w:rPr>
              <w:t>Finance Panel to monitor</w:t>
            </w:r>
          </w:p>
        </w:tc>
      </w:tr>
      <w:tr w:rsidR="008510EC" w:rsidRPr="00B44C14" w:rsidTr="00BC1E44">
        <w:trPr>
          <w:trHeight w:val="430"/>
        </w:trPr>
        <w:tc>
          <w:tcPr>
            <w:tcW w:w="1389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8510EC" w:rsidRPr="00B44C14" w:rsidRDefault="008510EC" w:rsidP="00912525">
            <w:pPr>
              <w:rPr>
                <w:rFonts w:cs="Arial"/>
                <w:b/>
                <w:bCs/>
                <w:sz w:val="22"/>
                <w:szCs w:val="22"/>
              </w:rPr>
            </w:pPr>
            <w:r>
              <w:rPr>
                <w:rFonts w:cs="Arial"/>
                <w:b/>
                <w:bCs/>
                <w:sz w:val="22"/>
                <w:szCs w:val="22"/>
              </w:rPr>
              <w:t xml:space="preserve">Debt Management Policy – Finance Panel 2 July </w:t>
            </w:r>
          </w:p>
        </w:tc>
      </w:tr>
      <w:tr w:rsidR="008510EC" w:rsidRPr="00B44C14" w:rsidTr="00BC1E44">
        <w:tc>
          <w:tcPr>
            <w:tcW w:w="5245" w:type="dxa"/>
            <w:gridSpan w:val="2"/>
            <w:shd w:val="clear" w:color="auto" w:fill="auto"/>
            <w:vAlign w:val="center"/>
          </w:tcPr>
          <w:p w:rsidR="008510EC" w:rsidRPr="00B44C14" w:rsidRDefault="008510EC" w:rsidP="00912525">
            <w:pPr>
              <w:rPr>
                <w:rFonts w:cs="Arial"/>
                <w:b/>
                <w:sz w:val="22"/>
                <w:szCs w:val="22"/>
              </w:rPr>
            </w:pPr>
            <w:r w:rsidRPr="00B44C14">
              <w:rPr>
                <w:rFonts w:cs="Arial"/>
                <w:b/>
                <w:sz w:val="22"/>
                <w:szCs w:val="22"/>
              </w:rPr>
              <w:t>Recommendation</w:t>
            </w:r>
          </w:p>
        </w:tc>
        <w:tc>
          <w:tcPr>
            <w:tcW w:w="992" w:type="dxa"/>
            <w:gridSpan w:val="3"/>
            <w:shd w:val="clear" w:color="auto" w:fill="auto"/>
            <w:vAlign w:val="center"/>
          </w:tcPr>
          <w:p w:rsidR="008510EC" w:rsidRPr="00B44C14" w:rsidRDefault="008510EC" w:rsidP="00912525">
            <w:pPr>
              <w:rPr>
                <w:rFonts w:cs="Arial"/>
                <w:b/>
                <w:sz w:val="22"/>
                <w:szCs w:val="22"/>
              </w:rPr>
            </w:pPr>
            <w:r w:rsidRPr="00B44C14">
              <w:rPr>
                <w:rFonts w:cs="Arial"/>
                <w:b/>
                <w:sz w:val="22"/>
                <w:szCs w:val="22"/>
              </w:rPr>
              <w:t>Agreed Y/N</w:t>
            </w:r>
          </w:p>
        </w:tc>
        <w:tc>
          <w:tcPr>
            <w:tcW w:w="4536" w:type="dxa"/>
            <w:gridSpan w:val="2"/>
            <w:shd w:val="clear" w:color="auto" w:fill="auto"/>
            <w:vAlign w:val="center"/>
          </w:tcPr>
          <w:p w:rsidR="008510EC" w:rsidRPr="00B44C14" w:rsidRDefault="008510EC" w:rsidP="00912525">
            <w:pPr>
              <w:rPr>
                <w:rFonts w:cs="Arial"/>
                <w:b/>
                <w:sz w:val="22"/>
                <w:szCs w:val="22"/>
              </w:rPr>
            </w:pPr>
            <w:r w:rsidRPr="00B44C14">
              <w:rPr>
                <w:rFonts w:cs="Arial"/>
                <w:b/>
                <w:sz w:val="22"/>
                <w:szCs w:val="22"/>
              </w:rPr>
              <w:t>Executive response</w:t>
            </w:r>
          </w:p>
        </w:tc>
        <w:tc>
          <w:tcPr>
            <w:tcW w:w="1559" w:type="dxa"/>
            <w:gridSpan w:val="2"/>
            <w:vAlign w:val="center"/>
          </w:tcPr>
          <w:p w:rsidR="008510EC" w:rsidRPr="00B44C14" w:rsidRDefault="008510EC" w:rsidP="00912525">
            <w:pPr>
              <w:rPr>
                <w:rFonts w:cs="Arial"/>
                <w:b/>
                <w:sz w:val="22"/>
                <w:szCs w:val="22"/>
              </w:rPr>
            </w:pPr>
            <w:r w:rsidRPr="00B44C14">
              <w:rPr>
                <w:rFonts w:cs="Arial"/>
                <w:b/>
                <w:sz w:val="22"/>
                <w:szCs w:val="22"/>
              </w:rPr>
              <w:t xml:space="preserve">Lead Member &amp; Officer </w:t>
            </w:r>
          </w:p>
        </w:tc>
        <w:tc>
          <w:tcPr>
            <w:tcW w:w="1560" w:type="dxa"/>
            <w:vAlign w:val="center"/>
          </w:tcPr>
          <w:p w:rsidR="008510EC" w:rsidRPr="00B44C14" w:rsidRDefault="008510EC" w:rsidP="00912525">
            <w:pPr>
              <w:rPr>
                <w:rFonts w:cs="Arial"/>
                <w:b/>
                <w:sz w:val="22"/>
                <w:szCs w:val="22"/>
              </w:rPr>
            </w:pPr>
            <w:r w:rsidRPr="00B44C14">
              <w:rPr>
                <w:rFonts w:cs="Arial"/>
                <w:b/>
                <w:sz w:val="22"/>
                <w:szCs w:val="22"/>
              </w:rPr>
              <w:t>Implemented Y/N / due date</w:t>
            </w:r>
          </w:p>
        </w:tc>
      </w:tr>
      <w:tr w:rsidR="008510EC" w:rsidRPr="00B44C14" w:rsidTr="00BC1E44">
        <w:tc>
          <w:tcPr>
            <w:tcW w:w="5245" w:type="dxa"/>
            <w:gridSpan w:val="2"/>
            <w:shd w:val="clear" w:color="auto" w:fill="auto"/>
          </w:tcPr>
          <w:p w:rsidR="008510EC" w:rsidRPr="00673B85" w:rsidRDefault="008510EC" w:rsidP="00F359DF">
            <w:pPr>
              <w:rPr>
                <w:rFonts w:cs="Arial"/>
                <w:sz w:val="22"/>
                <w:szCs w:val="22"/>
              </w:rPr>
            </w:pPr>
            <w:r>
              <w:rPr>
                <w:rFonts w:cs="Arial"/>
                <w:sz w:val="22"/>
                <w:szCs w:val="22"/>
              </w:rPr>
              <w:t xml:space="preserve">1. </w:t>
            </w:r>
            <w:r w:rsidR="00F359DF">
              <w:rPr>
                <w:rFonts w:cs="Arial"/>
                <w:sz w:val="22"/>
                <w:szCs w:val="22"/>
              </w:rPr>
              <w:t>T</w:t>
            </w:r>
            <w:r>
              <w:rPr>
                <w:rFonts w:cs="Arial"/>
                <w:sz w:val="22"/>
                <w:szCs w:val="22"/>
              </w:rPr>
              <w:t>hat the City Executive Board approves the Debt Management Policy subject  to a minor amendment to the timescales for recovering Miscellaneous Debts set out in the table on page 9 of the policy,</w:t>
            </w:r>
          </w:p>
        </w:tc>
        <w:tc>
          <w:tcPr>
            <w:tcW w:w="992" w:type="dxa"/>
            <w:gridSpan w:val="3"/>
            <w:shd w:val="clear" w:color="auto" w:fill="auto"/>
          </w:tcPr>
          <w:p w:rsidR="008510EC" w:rsidRPr="008D73A0" w:rsidRDefault="008D73A0" w:rsidP="008D73A0">
            <w:pPr>
              <w:rPr>
                <w:rFonts w:cs="Arial"/>
                <w:sz w:val="22"/>
                <w:szCs w:val="22"/>
              </w:rPr>
            </w:pPr>
            <w:r w:rsidRPr="008D73A0">
              <w:rPr>
                <w:rFonts w:cs="Arial"/>
                <w:sz w:val="22"/>
                <w:szCs w:val="22"/>
              </w:rPr>
              <w:t>Y</w:t>
            </w:r>
          </w:p>
        </w:tc>
        <w:tc>
          <w:tcPr>
            <w:tcW w:w="4536" w:type="dxa"/>
            <w:gridSpan w:val="2"/>
            <w:shd w:val="clear" w:color="auto" w:fill="auto"/>
          </w:tcPr>
          <w:p w:rsidR="008510EC" w:rsidRPr="008D73A0" w:rsidRDefault="005220C5" w:rsidP="008D73A0">
            <w:pPr>
              <w:rPr>
                <w:rFonts w:cs="Arial"/>
                <w:sz w:val="22"/>
                <w:szCs w:val="22"/>
              </w:rPr>
            </w:pPr>
            <w:r w:rsidRPr="005220C5">
              <w:rPr>
                <w:rFonts w:cs="Arial"/>
                <w:sz w:val="22"/>
                <w:szCs w:val="22"/>
              </w:rPr>
              <w:t>There is an error on page 7 of the policy which will be corrected- this should say 10 days and not 7 days.</w:t>
            </w:r>
          </w:p>
        </w:tc>
        <w:tc>
          <w:tcPr>
            <w:tcW w:w="1559" w:type="dxa"/>
            <w:gridSpan w:val="2"/>
          </w:tcPr>
          <w:p w:rsidR="008510EC" w:rsidRPr="008D73A0" w:rsidRDefault="005220C5" w:rsidP="008D73A0">
            <w:pPr>
              <w:rPr>
                <w:rFonts w:cs="Arial"/>
                <w:sz w:val="22"/>
                <w:szCs w:val="22"/>
              </w:rPr>
            </w:pPr>
            <w:r>
              <w:rPr>
                <w:rFonts w:cs="Arial"/>
                <w:sz w:val="22"/>
                <w:szCs w:val="22"/>
              </w:rPr>
              <w:t xml:space="preserve">Cllr Turner / Tanya </w:t>
            </w:r>
            <w:proofErr w:type="spellStart"/>
            <w:r>
              <w:rPr>
                <w:rFonts w:cs="Arial"/>
                <w:sz w:val="22"/>
                <w:szCs w:val="22"/>
              </w:rPr>
              <w:t>Bandekar</w:t>
            </w:r>
            <w:proofErr w:type="spellEnd"/>
          </w:p>
        </w:tc>
        <w:tc>
          <w:tcPr>
            <w:tcW w:w="1560" w:type="dxa"/>
          </w:tcPr>
          <w:p w:rsidR="008510EC" w:rsidRPr="008D73A0" w:rsidRDefault="008D73A0" w:rsidP="008D73A0">
            <w:pPr>
              <w:rPr>
                <w:rFonts w:cs="Arial"/>
                <w:sz w:val="22"/>
                <w:szCs w:val="22"/>
              </w:rPr>
            </w:pPr>
            <w:r w:rsidRPr="008D73A0">
              <w:rPr>
                <w:rFonts w:cs="Arial"/>
                <w:sz w:val="22"/>
                <w:szCs w:val="22"/>
              </w:rPr>
              <w:t>Y</w:t>
            </w:r>
          </w:p>
        </w:tc>
      </w:tr>
      <w:tr w:rsidR="008510EC" w:rsidRPr="00B44C14" w:rsidTr="00BC1E44">
        <w:tc>
          <w:tcPr>
            <w:tcW w:w="5245" w:type="dxa"/>
            <w:gridSpan w:val="2"/>
            <w:shd w:val="clear" w:color="auto" w:fill="auto"/>
          </w:tcPr>
          <w:p w:rsidR="008510EC" w:rsidRDefault="008510EC" w:rsidP="008D73A0">
            <w:pPr>
              <w:rPr>
                <w:rFonts w:cs="Arial"/>
                <w:sz w:val="22"/>
                <w:szCs w:val="22"/>
              </w:rPr>
            </w:pPr>
            <w:r>
              <w:rPr>
                <w:rFonts w:cs="Arial"/>
                <w:sz w:val="22"/>
                <w:szCs w:val="22"/>
              </w:rPr>
              <w:t xml:space="preserve">2. We reaffirm recommendation 15d of the Inequality Panel about the Council moving towards having a single view of debt.  It will still require considerable effort to make this a reality but we strongly endorse this direction of travel and the progress made to date, including the use of fraud </w:t>
            </w:r>
            <w:r>
              <w:rPr>
                <w:rFonts w:cs="Arial"/>
                <w:sz w:val="22"/>
                <w:szCs w:val="22"/>
              </w:rPr>
              <w:lastRenderedPageBreak/>
              <w:t xml:space="preserve">detection software to identify individuals with multiple debts owed to the Council </w:t>
            </w:r>
          </w:p>
        </w:tc>
        <w:tc>
          <w:tcPr>
            <w:tcW w:w="992" w:type="dxa"/>
            <w:gridSpan w:val="3"/>
            <w:shd w:val="clear" w:color="auto" w:fill="auto"/>
          </w:tcPr>
          <w:p w:rsidR="008510EC" w:rsidRPr="008D73A0" w:rsidRDefault="008D73A0" w:rsidP="008D73A0">
            <w:pPr>
              <w:rPr>
                <w:rFonts w:cs="Arial"/>
                <w:sz w:val="22"/>
                <w:szCs w:val="22"/>
              </w:rPr>
            </w:pPr>
            <w:r>
              <w:rPr>
                <w:rFonts w:cs="Arial"/>
                <w:sz w:val="22"/>
                <w:szCs w:val="22"/>
              </w:rPr>
              <w:lastRenderedPageBreak/>
              <w:t>Y</w:t>
            </w:r>
          </w:p>
        </w:tc>
        <w:tc>
          <w:tcPr>
            <w:tcW w:w="4536" w:type="dxa"/>
            <w:gridSpan w:val="2"/>
            <w:shd w:val="clear" w:color="auto" w:fill="auto"/>
          </w:tcPr>
          <w:p w:rsidR="008510EC" w:rsidRPr="008D73A0" w:rsidRDefault="005220C5" w:rsidP="008D73A0">
            <w:pPr>
              <w:rPr>
                <w:rFonts w:cs="Arial"/>
                <w:sz w:val="22"/>
                <w:szCs w:val="22"/>
              </w:rPr>
            </w:pPr>
            <w:r w:rsidRPr="005220C5">
              <w:rPr>
                <w:rFonts w:cs="Arial"/>
                <w:sz w:val="22"/>
                <w:szCs w:val="22"/>
              </w:rPr>
              <w:t>The project to implement this software which will allow us the single view of debt is underway, and will greatly assist in the management of all outstanding debts to the Council and allow us to operate in accordance with the Corporate Debt Policy.</w:t>
            </w:r>
          </w:p>
        </w:tc>
        <w:tc>
          <w:tcPr>
            <w:tcW w:w="1559" w:type="dxa"/>
            <w:gridSpan w:val="2"/>
          </w:tcPr>
          <w:p w:rsidR="008510EC" w:rsidRPr="008D73A0" w:rsidRDefault="005220C5" w:rsidP="008D73A0">
            <w:pPr>
              <w:rPr>
                <w:rFonts w:cs="Arial"/>
                <w:sz w:val="22"/>
                <w:szCs w:val="22"/>
              </w:rPr>
            </w:pPr>
            <w:r w:rsidRPr="005220C5">
              <w:rPr>
                <w:rFonts w:cs="Arial"/>
                <w:sz w:val="22"/>
                <w:szCs w:val="22"/>
              </w:rPr>
              <w:t xml:space="preserve">Cllr Turner / Tanya </w:t>
            </w:r>
            <w:proofErr w:type="spellStart"/>
            <w:r w:rsidRPr="005220C5">
              <w:rPr>
                <w:rFonts w:cs="Arial"/>
                <w:sz w:val="22"/>
                <w:szCs w:val="22"/>
              </w:rPr>
              <w:t>Bandekar</w:t>
            </w:r>
            <w:proofErr w:type="spellEnd"/>
          </w:p>
        </w:tc>
        <w:tc>
          <w:tcPr>
            <w:tcW w:w="1560" w:type="dxa"/>
          </w:tcPr>
          <w:p w:rsidR="008510EC" w:rsidRPr="008D73A0" w:rsidRDefault="005220C5" w:rsidP="008D73A0">
            <w:pPr>
              <w:rPr>
                <w:rFonts w:cs="Arial"/>
                <w:sz w:val="22"/>
                <w:szCs w:val="22"/>
              </w:rPr>
            </w:pPr>
            <w:r>
              <w:rPr>
                <w:rFonts w:cs="Arial"/>
                <w:sz w:val="22"/>
                <w:szCs w:val="22"/>
              </w:rPr>
              <w:t>June 2016</w:t>
            </w:r>
          </w:p>
        </w:tc>
      </w:tr>
      <w:tr w:rsidR="008510EC" w:rsidRPr="00B44C14" w:rsidTr="00BC1E44">
        <w:tc>
          <w:tcPr>
            <w:tcW w:w="5245" w:type="dxa"/>
            <w:gridSpan w:val="2"/>
            <w:shd w:val="clear" w:color="auto" w:fill="auto"/>
          </w:tcPr>
          <w:p w:rsidR="008510EC" w:rsidRDefault="008510EC" w:rsidP="00F359DF">
            <w:pPr>
              <w:rPr>
                <w:rFonts w:cs="Arial"/>
                <w:sz w:val="22"/>
                <w:szCs w:val="22"/>
              </w:rPr>
            </w:pPr>
            <w:r>
              <w:rPr>
                <w:rFonts w:cs="Arial"/>
                <w:sz w:val="22"/>
                <w:szCs w:val="22"/>
              </w:rPr>
              <w:lastRenderedPageBreak/>
              <w:t xml:space="preserve">3. </w:t>
            </w:r>
            <w:r w:rsidR="00F359DF">
              <w:rPr>
                <w:rFonts w:cs="Arial"/>
                <w:sz w:val="22"/>
                <w:szCs w:val="22"/>
              </w:rPr>
              <w:t>T</w:t>
            </w:r>
            <w:r>
              <w:rPr>
                <w:rFonts w:cs="Arial"/>
                <w:sz w:val="22"/>
                <w:szCs w:val="22"/>
              </w:rPr>
              <w:t xml:space="preserve">hat consideration is given to restructuring relevant teams and resources around a single view of debt model as this initiative progresses. </w:t>
            </w:r>
          </w:p>
        </w:tc>
        <w:tc>
          <w:tcPr>
            <w:tcW w:w="992" w:type="dxa"/>
            <w:gridSpan w:val="3"/>
            <w:shd w:val="clear" w:color="auto" w:fill="auto"/>
          </w:tcPr>
          <w:p w:rsidR="008510EC" w:rsidRPr="008D73A0" w:rsidRDefault="008D73A0" w:rsidP="008D73A0">
            <w:pPr>
              <w:rPr>
                <w:rFonts w:cs="Arial"/>
                <w:sz w:val="22"/>
                <w:szCs w:val="22"/>
              </w:rPr>
            </w:pPr>
            <w:r>
              <w:rPr>
                <w:rFonts w:cs="Arial"/>
                <w:sz w:val="22"/>
                <w:szCs w:val="22"/>
              </w:rPr>
              <w:t>Y</w:t>
            </w:r>
          </w:p>
        </w:tc>
        <w:tc>
          <w:tcPr>
            <w:tcW w:w="4536" w:type="dxa"/>
            <w:gridSpan w:val="2"/>
            <w:shd w:val="clear" w:color="auto" w:fill="auto"/>
          </w:tcPr>
          <w:p w:rsidR="008510EC" w:rsidRPr="008D73A0" w:rsidRDefault="005220C5" w:rsidP="005220C5">
            <w:pPr>
              <w:rPr>
                <w:rFonts w:cs="Arial"/>
                <w:sz w:val="22"/>
                <w:szCs w:val="22"/>
              </w:rPr>
            </w:pPr>
            <w:r w:rsidRPr="005220C5">
              <w:rPr>
                <w:rFonts w:cs="Arial"/>
                <w:sz w:val="22"/>
                <w:szCs w:val="22"/>
              </w:rPr>
              <w:t xml:space="preserve">This is already underway as the team restructures take effect </w:t>
            </w:r>
            <w:r>
              <w:rPr>
                <w:rFonts w:cs="Arial"/>
                <w:sz w:val="22"/>
                <w:szCs w:val="22"/>
              </w:rPr>
              <w:t>and the software is implemented.</w:t>
            </w:r>
            <w:r w:rsidRPr="005220C5">
              <w:rPr>
                <w:rFonts w:cs="Arial"/>
                <w:sz w:val="22"/>
                <w:szCs w:val="22"/>
              </w:rPr>
              <w:t xml:space="preserve"> </w:t>
            </w:r>
            <w:r>
              <w:rPr>
                <w:rFonts w:cs="Arial"/>
                <w:sz w:val="22"/>
                <w:szCs w:val="22"/>
              </w:rPr>
              <w:t xml:space="preserve"> Mo</w:t>
            </w:r>
            <w:r w:rsidR="008D73A0">
              <w:rPr>
                <w:rFonts w:cs="Arial"/>
                <w:sz w:val="22"/>
                <w:szCs w:val="22"/>
              </w:rPr>
              <w:t>st debt collection activities including revenues and housing rents are now under the Head of Financial Services.</w:t>
            </w:r>
          </w:p>
        </w:tc>
        <w:tc>
          <w:tcPr>
            <w:tcW w:w="1559" w:type="dxa"/>
            <w:gridSpan w:val="2"/>
          </w:tcPr>
          <w:p w:rsidR="008510EC" w:rsidRPr="008D73A0" w:rsidRDefault="005220C5" w:rsidP="008D73A0">
            <w:pPr>
              <w:rPr>
                <w:rFonts w:cs="Arial"/>
                <w:sz w:val="22"/>
                <w:szCs w:val="22"/>
              </w:rPr>
            </w:pPr>
            <w:r w:rsidRPr="005220C5">
              <w:rPr>
                <w:rFonts w:cs="Arial"/>
                <w:sz w:val="22"/>
                <w:szCs w:val="22"/>
              </w:rPr>
              <w:t xml:space="preserve">Cllr Turner / Tanya </w:t>
            </w:r>
            <w:proofErr w:type="spellStart"/>
            <w:r w:rsidRPr="005220C5">
              <w:rPr>
                <w:rFonts w:cs="Arial"/>
                <w:sz w:val="22"/>
                <w:szCs w:val="22"/>
              </w:rPr>
              <w:t>Bandekar</w:t>
            </w:r>
            <w:proofErr w:type="spellEnd"/>
          </w:p>
        </w:tc>
        <w:tc>
          <w:tcPr>
            <w:tcW w:w="1560" w:type="dxa"/>
          </w:tcPr>
          <w:p w:rsidR="008510EC" w:rsidRPr="008D73A0" w:rsidRDefault="005220C5" w:rsidP="008D73A0">
            <w:pPr>
              <w:rPr>
                <w:rFonts w:cs="Arial"/>
                <w:sz w:val="22"/>
                <w:szCs w:val="22"/>
              </w:rPr>
            </w:pPr>
            <w:r>
              <w:rPr>
                <w:rFonts w:cs="Arial"/>
                <w:sz w:val="22"/>
                <w:szCs w:val="22"/>
              </w:rPr>
              <w:t>June 2016</w:t>
            </w:r>
          </w:p>
        </w:tc>
      </w:tr>
      <w:tr w:rsidR="008510EC" w:rsidRPr="00B44C14" w:rsidTr="00BC1E44">
        <w:trPr>
          <w:trHeight w:val="430"/>
        </w:trPr>
        <w:tc>
          <w:tcPr>
            <w:tcW w:w="1389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8510EC" w:rsidRPr="00B44C14" w:rsidRDefault="008510EC" w:rsidP="00912525">
            <w:pPr>
              <w:rPr>
                <w:rFonts w:cs="Arial"/>
                <w:b/>
                <w:bCs/>
                <w:sz w:val="22"/>
                <w:szCs w:val="22"/>
              </w:rPr>
            </w:pPr>
            <w:r>
              <w:br w:type="page"/>
            </w:r>
            <w:r>
              <w:rPr>
                <w:rFonts w:cs="Arial"/>
                <w:b/>
                <w:bCs/>
                <w:sz w:val="22"/>
                <w:szCs w:val="22"/>
              </w:rPr>
              <w:t>Grant Monitorin</w:t>
            </w:r>
            <w:r w:rsidR="00E7113B">
              <w:rPr>
                <w:rFonts w:cs="Arial"/>
                <w:b/>
                <w:bCs/>
                <w:sz w:val="22"/>
                <w:szCs w:val="22"/>
              </w:rPr>
              <w:t xml:space="preserve">g Information for 2014/15 – </w:t>
            </w:r>
            <w:r>
              <w:rPr>
                <w:rFonts w:cs="Arial"/>
                <w:b/>
                <w:bCs/>
                <w:sz w:val="22"/>
                <w:szCs w:val="22"/>
              </w:rPr>
              <w:t>Scrutiny Committee 30</w:t>
            </w:r>
            <w:r w:rsidR="00E7113B">
              <w:rPr>
                <w:rFonts w:cs="Arial"/>
                <w:b/>
                <w:bCs/>
                <w:sz w:val="22"/>
                <w:szCs w:val="22"/>
                <w:vertAlign w:val="superscript"/>
              </w:rPr>
              <w:t xml:space="preserve"> </w:t>
            </w:r>
            <w:r>
              <w:rPr>
                <w:rFonts w:cs="Arial"/>
                <w:b/>
                <w:bCs/>
                <w:sz w:val="22"/>
                <w:szCs w:val="22"/>
              </w:rPr>
              <w:t>June</w:t>
            </w:r>
          </w:p>
        </w:tc>
      </w:tr>
      <w:tr w:rsidR="008510EC" w:rsidRPr="00B44C14" w:rsidTr="003E3F0E">
        <w:tc>
          <w:tcPr>
            <w:tcW w:w="5245" w:type="dxa"/>
            <w:gridSpan w:val="2"/>
            <w:shd w:val="clear" w:color="auto" w:fill="auto"/>
            <w:vAlign w:val="center"/>
          </w:tcPr>
          <w:p w:rsidR="008510EC" w:rsidRPr="00B44C14" w:rsidRDefault="008510EC" w:rsidP="00912525">
            <w:pPr>
              <w:rPr>
                <w:rFonts w:cs="Arial"/>
                <w:b/>
                <w:sz w:val="22"/>
                <w:szCs w:val="22"/>
              </w:rPr>
            </w:pPr>
            <w:r w:rsidRPr="00B44C14">
              <w:rPr>
                <w:rFonts w:cs="Arial"/>
                <w:b/>
                <w:sz w:val="22"/>
                <w:szCs w:val="22"/>
              </w:rPr>
              <w:t>Recommendation</w:t>
            </w:r>
          </w:p>
        </w:tc>
        <w:tc>
          <w:tcPr>
            <w:tcW w:w="992" w:type="dxa"/>
            <w:gridSpan w:val="3"/>
            <w:shd w:val="clear" w:color="auto" w:fill="auto"/>
            <w:vAlign w:val="center"/>
          </w:tcPr>
          <w:p w:rsidR="008510EC" w:rsidRPr="00B44C14" w:rsidRDefault="008510EC" w:rsidP="00912525">
            <w:pPr>
              <w:rPr>
                <w:rFonts w:cs="Arial"/>
                <w:b/>
                <w:sz w:val="22"/>
                <w:szCs w:val="22"/>
              </w:rPr>
            </w:pPr>
            <w:r w:rsidRPr="00B44C14">
              <w:rPr>
                <w:rFonts w:cs="Arial"/>
                <w:b/>
                <w:sz w:val="22"/>
                <w:szCs w:val="22"/>
              </w:rPr>
              <w:t>Agreed Y/N</w:t>
            </w:r>
          </w:p>
        </w:tc>
        <w:tc>
          <w:tcPr>
            <w:tcW w:w="4536" w:type="dxa"/>
            <w:gridSpan w:val="2"/>
            <w:shd w:val="clear" w:color="auto" w:fill="auto"/>
            <w:vAlign w:val="center"/>
          </w:tcPr>
          <w:p w:rsidR="008510EC" w:rsidRPr="00B44C14" w:rsidRDefault="008510EC" w:rsidP="00912525">
            <w:pPr>
              <w:rPr>
                <w:rFonts w:cs="Arial"/>
                <w:b/>
                <w:sz w:val="22"/>
                <w:szCs w:val="22"/>
              </w:rPr>
            </w:pPr>
            <w:r w:rsidRPr="00B44C14">
              <w:rPr>
                <w:rFonts w:cs="Arial"/>
                <w:b/>
                <w:sz w:val="22"/>
                <w:szCs w:val="22"/>
              </w:rPr>
              <w:t>Executive response</w:t>
            </w:r>
          </w:p>
        </w:tc>
        <w:tc>
          <w:tcPr>
            <w:tcW w:w="1559" w:type="dxa"/>
            <w:gridSpan w:val="2"/>
            <w:vAlign w:val="center"/>
          </w:tcPr>
          <w:p w:rsidR="008510EC" w:rsidRPr="00B44C14" w:rsidRDefault="008510EC" w:rsidP="00912525">
            <w:pPr>
              <w:rPr>
                <w:rFonts w:cs="Arial"/>
                <w:b/>
                <w:sz w:val="22"/>
                <w:szCs w:val="22"/>
              </w:rPr>
            </w:pPr>
            <w:r w:rsidRPr="00B44C14">
              <w:rPr>
                <w:rFonts w:cs="Arial"/>
                <w:b/>
                <w:sz w:val="22"/>
                <w:szCs w:val="22"/>
              </w:rPr>
              <w:t xml:space="preserve">Lead Member &amp; Officer </w:t>
            </w:r>
          </w:p>
        </w:tc>
        <w:tc>
          <w:tcPr>
            <w:tcW w:w="1560" w:type="dxa"/>
            <w:vAlign w:val="center"/>
          </w:tcPr>
          <w:p w:rsidR="008510EC" w:rsidRPr="00B44C14" w:rsidRDefault="008510EC" w:rsidP="00912525">
            <w:pPr>
              <w:rPr>
                <w:rFonts w:cs="Arial"/>
                <w:b/>
                <w:sz w:val="22"/>
                <w:szCs w:val="22"/>
              </w:rPr>
            </w:pPr>
            <w:r w:rsidRPr="00B44C14">
              <w:rPr>
                <w:rFonts w:cs="Arial"/>
                <w:b/>
                <w:sz w:val="22"/>
                <w:szCs w:val="22"/>
              </w:rPr>
              <w:t>Implemented Y/N / due date</w:t>
            </w:r>
          </w:p>
        </w:tc>
      </w:tr>
      <w:tr w:rsidR="008510EC" w:rsidRPr="00B44C14" w:rsidTr="003E3F0E">
        <w:tc>
          <w:tcPr>
            <w:tcW w:w="5245" w:type="dxa"/>
            <w:gridSpan w:val="2"/>
            <w:shd w:val="clear" w:color="auto" w:fill="auto"/>
          </w:tcPr>
          <w:p w:rsidR="008510EC" w:rsidRPr="00571A41" w:rsidRDefault="00F359DF" w:rsidP="008D73A0">
            <w:pPr>
              <w:rPr>
                <w:rFonts w:cs="Arial"/>
                <w:sz w:val="22"/>
                <w:szCs w:val="22"/>
              </w:rPr>
            </w:pPr>
            <w:r>
              <w:rPr>
                <w:rFonts w:cs="Arial"/>
                <w:sz w:val="22"/>
                <w:szCs w:val="22"/>
              </w:rPr>
              <w:t>T</w:t>
            </w:r>
            <w:r w:rsidR="008510EC" w:rsidRPr="00571A41">
              <w:rPr>
                <w:rFonts w:cs="Arial"/>
                <w:sz w:val="22"/>
                <w:szCs w:val="22"/>
              </w:rPr>
              <w:t>hat the under-spend of £21,040 is rolled forwards and spent on grants to community and voluntary organisations in 2015/16.</w:t>
            </w:r>
          </w:p>
        </w:tc>
        <w:tc>
          <w:tcPr>
            <w:tcW w:w="992" w:type="dxa"/>
            <w:gridSpan w:val="3"/>
            <w:shd w:val="clear" w:color="auto" w:fill="auto"/>
          </w:tcPr>
          <w:p w:rsidR="008510EC" w:rsidRPr="008D73A0" w:rsidRDefault="008D73A0" w:rsidP="008D73A0">
            <w:pPr>
              <w:rPr>
                <w:rFonts w:cs="Arial"/>
                <w:sz w:val="22"/>
                <w:szCs w:val="22"/>
              </w:rPr>
            </w:pPr>
            <w:r w:rsidRPr="008D73A0">
              <w:rPr>
                <w:rFonts w:cs="Arial"/>
                <w:sz w:val="22"/>
                <w:szCs w:val="22"/>
              </w:rPr>
              <w:t>N</w:t>
            </w:r>
          </w:p>
        </w:tc>
        <w:tc>
          <w:tcPr>
            <w:tcW w:w="4536" w:type="dxa"/>
            <w:gridSpan w:val="2"/>
            <w:shd w:val="clear" w:color="auto" w:fill="auto"/>
          </w:tcPr>
          <w:p w:rsidR="008510EC" w:rsidRPr="008D73A0" w:rsidRDefault="008D73A0" w:rsidP="008D73A0">
            <w:pPr>
              <w:rPr>
                <w:rFonts w:cs="Arial"/>
                <w:sz w:val="22"/>
                <w:szCs w:val="22"/>
              </w:rPr>
            </w:pPr>
            <w:r w:rsidRPr="008D73A0">
              <w:rPr>
                <w:rFonts w:cs="Arial"/>
                <w:sz w:val="22"/>
                <w:szCs w:val="22"/>
              </w:rPr>
              <w:t>I have some sympathy with this recommendation but the funding has been rolled back into the General Fund.  The under</w:t>
            </w:r>
            <w:r>
              <w:rPr>
                <w:rFonts w:cs="Arial"/>
                <w:sz w:val="22"/>
                <w:szCs w:val="22"/>
              </w:rPr>
              <w:t>-</w:t>
            </w:r>
            <w:r w:rsidRPr="008D73A0">
              <w:rPr>
                <w:rFonts w:cs="Arial"/>
                <w:sz w:val="22"/>
                <w:szCs w:val="22"/>
              </w:rPr>
              <w:t xml:space="preserve">spend was </w:t>
            </w:r>
            <w:r>
              <w:rPr>
                <w:rFonts w:cs="Arial"/>
                <w:sz w:val="22"/>
                <w:szCs w:val="22"/>
              </w:rPr>
              <w:t>i</w:t>
            </w:r>
            <w:r w:rsidRPr="008D73A0">
              <w:rPr>
                <w:rFonts w:cs="Arial"/>
                <w:sz w:val="22"/>
                <w:szCs w:val="22"/>
              </w:rPr>
              <w:t>n the social inclusion fund which has now been discontinued.  We are working with OCVA to build capacity in this sector.</w:t>
            </w:r>
          </w:p>
        </w:tc>
        <w:tc>
          <w:tcPr>
            <w:tcW w:w="1559" w:type="dxa"/>
            <w:gridSpan w:val="2"/>
          </w:tcPr>
          <w:p w:rsidR="008510EC" w:rsidRPr="008D73A0" w:rsidRDefault="008D73A0" w:rsidP="008D73A0">
            <w:pPr>
              <w:rPr>
                <w:rFonts w:cs="Arial"/>
                <w:sz w:val="22"/>
                <w:szCs w:val="22"/>
              </w:rPr>
            </w:pPr>
            <w:r w:rsidRPr="008D73A0">
              <w:rPr>
                <w:rFonts w:cs="Arial"/>
                <w:sz w:val="22"/>
                <w:szCs w:val="22"/>
              </w:rPr>
              <w:t>Cllr Rowley / Julia Tomkins</w:t>
            </w:r>
          </w:p>
        </w:tc>
        <w:tc>
          <w:tcPr>
            <w:tcW w:w="1560" w:type="dxa"/>
          </w:tcPr>
          <w:p w:rsidR="008510EC" w:rsidRPr="008D73A0" w:rsidRDefault="008D73A0" w:rsidP="008D73A0">
            <w:pPr>
              <w:rPr>
                <w:rFonts w:cs="Arial"/>
                <w:sz w:val="22"/>
                <w:szCs w:val="22"/>
              </w:rPr>
            </w:pPr>
            <w:r w:rsidRPr="008D73A0">
              <w:rPr>
                <w:rFonts w:cs="Arial"/>
                <w:sz w:val="22"/>
                <w:szCs w:val="22"/>
              </w:rPr>
              <w:t>N/A</w:t>
            </w:r>
          </w:p>
        </w:tc>
      </w:tr>
      <w:tr w:rsidR="008510EC" w:rsidRPr="008510EC" w:rsidTr="00BC1E44">
        <w:trPr>
          <w:trHeight w:val="430"/>
        </w:trPr>
        <w:tc>
          <w:tcPr>
            <w:tcW w:w="1389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8510EC" w:rsidRPr="008510EC" w:rsidRDefault="008510EC" w:rsidP="00E7113B">
            <w:pPr>
              <w:rPr>
                <w:rFonts w:cs="Arial"/>
                <w:b/>
                <w:bCs/>
                <w:sz w:val="22"/>
                <w:szCs w:val="22"/>
              </w:rPr>
            </w:pPr>
            <w:r w:rsidRPr="008510EC">
              <w:rPr>
                <w:rFonts w:cs="Arial"/>
                <w:b/>
                <w:bCs/>
              </w:rPr>
              <w:t>Adoption of the Statement of Community Invo</w:t>
            </w:r>
            <w:r w:rsidR="00E7113B">
              <w:rPr>
                <w:rFonts w:cs="Arial"/>
                <w:b/>
                <w:bCs/>
              </w:rPr>
              <w:t>lvement in Planning (2015) –</w:t>
            </w:r>
            <w:r w:rsidRPr="008510EC">
              <w:rPr>
                <w:rFonts w:cs="Arial"/>
                <w:b/>
                <w:bCs/>
              </w:rPr>
              <w:t xml:space="preserve"> Scrutiny Committee 30 June</w:t>
            </w:r>
          </w:p>
        </w:tc>
      </w:tr>
      <w:tr w:rsidR="008510EC" w:rsidRPr="008510EC" w:rsidTr="003E3F0E">
        <w:tc>
          <w:tcPr>
            <w:tcW w:w="5812" w:type="dxa"/>
            <w:gridSpan w:val="4"/>
            <w:shd w:val="clear" w:color="auto" w:fill="auto"/>
            <w:vAlign w:val="center"/>
          </w:tcPr>
          <w:p w:rsidR="008510EC" w:rsidRPr="008D73A0" w:rsidRDefault="008510EC" w:rsidP="00912525">
            <w:pPr>
              <w:rPr>
                <w:rFonts w:cs="Arial"/>
                <w:b/>
                <w:sz w:val="22"/>
                <w:szCs w:val="22"/>
              </w:rPr>
            </w:pPr>
            <w:r w:rsidRPr="008D73A0">
              <w:rPr>
                <w:rFonts w:cs="Arial"/>
                <w:b/>
                <w:sz w:val="22"/>
                <w:szCs w:val="22"/>
              </w:rPr>
              <w:t>Recommendation</w:t>
            </w:r>
          </w:p>
        </w:tc>
        <w:tc>
          <w:tcPr>
            <w:tcW w:w="992" w:type="dxa"/>
            <w:gridSpan w:val="2"/>
            <w:shd w:val="clear" w:color="auto" w:fill="auto"/>
            <w:vAlign w:val="center"/>
          </w:tcPr>
          <w:p w:rsidR="008510EC" w:rsidRPr="008D73A0" w:rsidRDefault="008510EC" w:rsidP="00912525">
            <w:pPr>
              <w:rPr>
                <w:rFonts w:cs="Arial"/>
                <w:b/>
                <w:sz w:val="22"/>
                <w:szCs w:val="22"/>
              </w:rPr>
            </w:pPr>
            <w:r w:rsidRPr="008D73A0">
              <w:rPr>
                <w:rFonts w:cs="Arial"/>
                <w:b/>
                <w:sz w:val="22"/>
                <w:szCs w:val="22"/>
              </w:rPr>
              <w:t>Agreed Y/N</w:t>
            </w:r>
          </w:p>
        </w:tc>
        <w:tc>
          <w:tcPr>
            <w:tcW w:w="3969" w:type="dxa"/>
            <w:shd w:val="clear" w:color="auto" w:fill="auto"/>
            <w:vAlign w:val="center"/>
          </w:tcPr>
          <w:p w:rsidR="008510EC" w:rsidRPr="008D73A0" w:rsidRDefault="008510EC" w:rsidP="00912525">
            <w:pPr>
              <w:rPr>
                <w:rFonts w:cs="Arial"/>
                <w:b/>
                <w:sz w:val="22"/>
                <w:szCs w:val="22"/>
              </w:rPr>
            </w:pPr>
            <w:r w:rsidRPr="008D73A0">
              <w:rPr>
                <w:rFonts w:cs="Arial"/>
                <w:b/>
                <w:sz w:val="22"/>
                <w:szCs w:val="22"/>
              </w:rPr>
              <w:t>Executive response</w:t>
            </w:r>
          </w:p>
        </w:tc>
        <w:tc>
          <w:tcPr>
            <w:tcW w:w="1559" w:type="dxa"/>
            <w:gridSpan w:val="2"/>
            <w:vAlign w:val="center"/>
          </w:tcPr>
          <w:p w:rsidR="008510EC" w:rsidRPr="008D73A0" w:rsidRDefault="008510EC" w:rsidP="00912525">
            <w:pPr>
              <w:rPr>
                <w:rFonts w:cs="Arial"/>
                <w:b/>
                <w:sz w:val="22"/>
                <w:szCs w:val="22"/>
              </w:rPr>
            </w:pPr>
            <w:r w:rsidRPr="008D73A0">
              <w:rPr>
                <w:rFonts w:cs="Arial"/>
                <w:b/>
                <w:sz w:val="22"/>
                <w:szCs w:val="22"/>
              </w:rPr>
              <w:t xml:space="preserve">Lead Member &amp; Officer </w:t>
            </w:r>
          </w:p>
        </w:tc>
        <w:tc>
          <w:tcPr>
            <w:tcW w:w="1560" w:type="dxa"/>
            <w:vAlign w:val="center"/>
          </w:tcPr>
          <w:p w:rsidR="008510EC" w:rsidRPr="008D73A0" w:rsidRDefault="008510EC" w:rsidP="00912525">
            <w:pPr>
              <w:rPr>
                <w:rFonts w:cs="Arial"/>
                <w:b/>
                <w:sz w:val="22"/>
                <w:szCs w:val="22"/>
              </w:rPr>
            </w:pPr>
            <w:r w:rsidRPr="008D73A0">
              <w:rPr>
                <w:rFonts w:cs="Arial"/>
                <w:b/>
                <w:sz w:val="22"/>
                <w:szCs w:val="22"/>
              </w:rPr>
              <w:t>Implemented Y/N / due date</w:t>
            </w:r>
          </w:p>
        </w:tc>
      </w:tr>
      <w:tr w:rsidR="008510EC" w:rsidRPr="008510EC" w:rsidTr="003E3F0E">
        <w:tc>
          <w:tcPr>
            <w:tcW w:w="5812" w:type="dxa"/>
            <w:gridSpan w:val="4"/>
            <w:shd w:val="clear" w:color="auto" w:fill="auto"/>
          </w:tcPr>
          <w:p w:rsidR="008510EC" w:rsidRPr="008510EC" w:rsidRDefault="008510EC" w:rsidP="008D73A0">
            <w:pPr>
              <w:rPr>
                <w:rFonts w:cs="Arial"/>
                <w:sz w:val="22"/>
                <w:szCs w:val="22"/>
              </w:rPr>
            </w:pPr>
            <w:r w:rsidRPr="008510EC">
              <w:rPr>
                <w:rFonts w:cs="Arial"/>
                <w:sz w:val="22"/>
                <w:szCs w:val="22"/>
              </w:rPr>
              <w:t>1. We endorse the draft Statement of Community Involvement in Planning and recommend that this is amended to include references to the Planning Review Committee, Area Forums and external guidance on the use of visualisation tools.</w:t>
            </w:r>
          </w:p>
        </w:tc>
        <w:tc>
          <w:tcPr>
            <w:tcW w:w="992" w:type="dxa"/>
            <w:gridSpan w:val="2"/>
            <w:shd w:val="clear" w:color="auto" w:fill="auto"/>
          </w:tcPr>
          <w:p w:rsidR="008510EC" w:rsidRPr="008510EC" w:rsidRDefault="008D73A0" w:rsidP="008D73A0">
            <w:pPr>
              <w:rPr>
                <w:rFonts w:cs="Arial"/>
                <w:sz w:val="22"/>
                <w:szCs w:val="22"/>
              </w:rPr>
            </w:pPr>
            <w:r>
              <w:rPr>
                <w:rFonts w:cs="Arial"/>
                <w:sz w:val="22"/>
                <w:szCs w:val="22"/>
              </w:rPr>
              <w:t>Y</w:t>
            </w:r>
          </w:p>
        </w:tc>
        <w:tc>
          <w:tcPr>
            <w:tcW w:w="3969" w:type="dxa"/>
            <w:shd w:val="clear" w:color="auto" w:fill="auto"/>
          </w:tcPr>
          <w:p w:rsidR="008510EC" w:rsidRPr="008510EC" w:rsidRDefault="008D73A0" w:rsidP="008D73A0">
            <w:pPr>
              <w:rPr>
                <w:rFonts w:cs="Arial"/>
                <w:sz w:val="22"/>
                <w:szCs w:val="22"/>
              </w:rPr>
            </w:pPr>
            <w:r>
              <w:rPr>
                <w:rFonts w:cs="Arial"/>
                <w:sz w:val="22"/>
                <w:szCs w:val="22"/>
              </w:rPr>
              <w:t>Done</w:t>
            </w:r>
          </w:p>
        </w:tc>
        <w:tc>
          <w:tcPr>
            <w:tcW w:w="1559" w:type="dxa"/>
            <w:gridSpan w:val="2"/>
          </w:tcPr>
          <w:p w:rsidR="008510EC" w:rsidRPr="008510EC" w:rsidRDefault="008D73A0" w:rsidP="008D73A0">
            <w:pPr>
              <w:rPr>
                <w:rFonts w:cs="Arial"/>
                <w:sz w:val="22"/>
                <w:szCs w:val="22"/>
              </w:rPr>
            </w:pPr>
            <w:r>
              <w:rPr>
                <w:rFonts w:cs="Arial"/>
                <w:sz w:val="22"/>
                <w:szCs w:val="22"/>
              </w:rPr>
              <w:t xml:space="preserve">Cllr Hollingsworth / Lyndsey </w:t>
            </w:r>
            <w:proofErr w:type="spellStart"/>
            <w:r>
              <w:rPr>
                <w:rFonts w:cs="Arial"/>
                <w:sz w:val="22"/>
                <w:szCs w:val="22"/>
              </w:rPr>
              <w:t>Beveridge</w:t>
            </w:r>
            <w:proofErr w:type="spellEnd"/>
          </w:p>
        </w:tc>
        <w:tc>
          <w:tcPr>
            <w:tcW w:w="1560" w:type="dxa"/>
          </w:tcPr>
          <w:p w:rsidR="008510EC" w:rsidRPr="008510EC" w:rsidRDefault="008D73A0" w:rsidP="008D73A0">
            <w:pPr>
              <w:rPr>
                <w:rFonts w:cs="Arial"/>
                <w:sz w:val="22"/>
                <w:szCs w:val="22"/>
              </w:rPr>
            </w:pPr>
            <w:r>
              <w:rPr>
                <w:rFonts w:cs="Arial"/>
                <w:sz w:val="22"/>
                <w:szCs w:val="22"/>
              </w:rPr>
              <w:t>Y</w:t>
            </w:r>
          </w:p>
        </w:tc>
      </w:tr>
      <w:tr w:rsidR="008510EC" w:rsidRPr="008510EC" w:rsidTr="003E3F0E">
        <w:tc>
          <w:tcPr>
            <w:tcW w:w="5812" w:type="dxa"/>
            <w:gridSpan w:val="4"/>
            <w:shd w:val="clear" w:color="auto" w:fill="auto"/>
          </w:tcPr>
          <w:p w:rsidR="008510EC" w:rsidRPr="008510EC" w:rsidRDefault="008510EC" w:rsidP="00F359DF">
            <w:pPr>
              <w:rPr>
                <w:rFonts w:cs="Arial"/>
                <w:sz w:val="22"/>
                <w:szCs w:val="22"/>
              </w:rPr>
            </w:pPr>
            <w:r w:rsidRPr="008510EC">
              <w:rPr>
                <w:rFonts w:cs="Arial"/>
                <w:sz w:val="22"/>
                <w:szCs w:val="22"/>
              </w:rPr>
              <w:t xml:space="preserve">2. </w:t>
            </w:r>
            <w:r w:rsidR="00F359DF">
              <w:rPr>
                <w:rFonts w:cs="Arial"/>
                <w:sz w:val="22"/>
                <w:szCs w:val="22"/>
              </w:rPr>
              <w:t>T</w:t>
            </w:r>
            <w:r w:rsidRPr="008510EC">
              <w:rPr>
                <w:rFonts w:cs="Arial"/>
                <w:sz w:val="22"/>
                <w:szCs w:val="22"/>
              </w:rPr>
              <w:t>hat the City Council continues to explore new and improved ways of informing residents and community organisations of local planning issues, using both on-line and off-line communication methods.  In particular, enhancements to ICT systems should be prioritised so that individuals and groups that have signed up can receive automatic notifications when specific planning applications are progressed or amended.</w:t>
            </w:r>
          </w:p>
        </w:tc>
        <w:tc>
          <w:tcPr>
            <w:tcW w:w="992" w:type="dxa"/>
            <w:gridSpan w:val="2"/>
            <w:shd w:val="clear" w:color="auto" w:fill="auto"/>
          </w:tcPr>
          <w:p w:rsidR="008510EC" w:rsidRPr="008510EC" w:rsidRDefault="008D73A0" w:rsidP="008D73A0">
            <w:pPr>
              <w:rPr>
                <w:rFonts w:cs="Arial"/>
                <w:sz w:val="22"/>
                <w:szCs w:val="22"/>
              </w:rPr>
            </w:pPr>
            <w:r>
              <w:rPr>
                <w:rFonts w:cs="Arial"/>
                <w:sz w:val="22"/>
                <w:szCs w:val="22"/>
              </w:rPr>
              <w:t>Y</w:t>
            </w:r>
          </w:p>
        </w:tc>
        <w:tc>
          <w:tcPr>
            <w:tcW w:w="3969" w:type="dxa"/>
            <w:shd w:val="clear" w:color="auto" w:fill="auto"/>
          </w:tcPr>
          <w:p w:rsidR="008510EC" w:rsidRPr="008510EC" w:rsidRDefault="008D73A0" w:rsidP="008D73A0">
            <w:pPr>
              <w:rPr>
                <w:rFonts w:cs="Arial"/>
                <w:sz w:val="22"/>
                <w:szCs w:val="22"/>
              </w:rPr>
            </w:pPr>
            <w:r>
              <w:rPr>
                <w:rFonts w:cs="Arial"/>
                <w:sz w:val="22"/>
                <w:szCs w:val="22"/>
              </w:rPr>
              <w:t>These are action plan issues.  We need to improve the ICT.</w:t>
            </w:r>
          </w:p>
        </w:tc>
        <w:tc>
          <w:tcPr>
            <w:tcW w:w="1559" w:type="dxa"/>
            <w:gridSpan w:val="2"/>
          </w:tcPr>
          <w:p w:rsidR="008510EC" w:rsidRPr="008510EC" w:rsidRDefault="008D73A0" w:rsidP="008D73A0">
            <w:pPr>
              <w:rPr>
                <w:rFonts w:cs="Arial"/>
                <w:sz w:val="22"/>
                <w:szCs w:val="22"/>
              </w:rPr>
            </w:pPr>
            <w:r w:rsidRPr="008D73A0">
              <w:rPr>
                <w:rFonts w:cs="Arial"/>
                <w:sz w:val="22"/>
                <w:szCs w:val="22"/>
              </w:rPr>
              <w:t xml:space="preserve">Cllr Hollingsworth / Lyndsey </w:t>
            </w:r>
            <w:proofErr w:type="spellStart"/>
            <w:r w:rsidRPr="008D73A0">
              <w:rPr>
                <w:rFonts w:cs="Arial"/>
                <w:sz w:val="22"/>
                <w:szCs w:val="22"/>
              </w:rPr>
              <w:t>Beveridge</w:t>
            </w:r>
            <w:proofErr w:type="spellEnd"/>
          </w:p>
        </w:tc>
        <w:tc>
          <w:tcPr>
            <w:tcW w:w="1560" w:type="dxa"/>
          </w:tcPr>
          <w:p w:rsidR="008510EC" w:rsidRPr="008510EC" w:rsidRDefault="00F359DF" w:rsidP="00F359DF">
            <w:pPr>
              <w:rPr>
                <w:rFonts w:cs="Arial"/>
                <w:sz w:val="22"/>
                <w:szCs w:val="22"/>
              </w:rPr>
            </w:pPr>
            <w:r>
              <w:rPr>
                <w:rFonts w:cs="Arial"/>
                <w:sz w:val="22"/>
                <w:szCs w:val="22"/>
              </w:rPr>
              <w:t>Dec</w:t>
            </w:r>
            <w:r w:rsidR="008D73A0">
              <w:rPr>
                <w:rFonts w:cs="Arial"/>
                <w:sz w:val="22"/>
                <w:szCs w:val="22"/>
              </w:rPr>
              <w:t xml:space="preserve"> 201</w:t>
            </w:r>
            <w:r>
              <w:rPr>
                <w:rFonts w:cs="Arial"/>
                <w:sz w:val="22"/>
                <w:szCs w:val="22"/>
              </w:rPr>
              <w:t>5</w:t>
            </w:r>
          </w:p>
        </w:tc>
      </w:tr>
      <w:tr w:rsidR="008D73A0" w:rsidRPr="008510EC" w:rsidTr="003E3F0E">
        <w:tc>
          <w:tcPr>
            <w:tcW w:w="5812" w:type="dxa"/>
            <w:gridSpan w:val="4"/>
            <w:shd w:val="clear" w:color="auto" w:fill="auto"/>
          </w:tcPr>
          <w:p w:rsidR="008D73A0" w:rsidRPr="008510EC" w:rsidRDefault="008D73A0" w:rsidP="00F359DF">
            <w:pPr>
              <w:rPr>
                <w:rFonts w:cs="Arial"/>
                <w:sz w:val="22"/>
                <w:szCs w:val="22"/>
              </w:rPr>
            </w:pPr>
            <w:r w:rsidRPr="008D73A0">
              <w:rPr>
                <w:rFonts w:cs="Arial"/>
                <w:sz w:val="22"/>
                <w:szCs w:val="22"/>
              </w:rPr>
              <w:t xml:space="preserve">3. </w:t>
            </w:r>
            <w:r w:rsidR="00F359DF">
              <w:rPr>
                <w:rFonts w:cs="Arial"/>
                <w:sz w:val="22"/>
                <w:szCs w:val="22"/>
              </w:rPr>
              <w:t>T</w:t>
            </w:r>
            <w:r w:rsidRPr="008D73A0">
              <w:rPr>
                <w:rFonts w:cs="Arial"/>
                <w:sz w:val="22"/>
                <w:szCs w:val="22"/>
              </w:rPr>
              <w:t xml:space="preserve">hat the City Council explores whether there is a lower </w:t>
            </w:r>
            <w:r w:rsidRPr="008D73A0">
              <w:rPr>
                <w:rFonts w:cs="Arial"/>
                <w:sz w:val="22"/>
                <w:szCs w:val="22"/>
              </w:rPr>
              <w:lastRenderedPageBreak/>
              <w:t>cost means of informing local residents of planning applications as an alternative to “neighbouring property notification letters”.  We suggest that proposals are brought forward in the next budget round.</w:t>
            </w:r>
          </w:p>
        </w:tc>
        <w:tc>
          <w:tcPr>
            <w:tcW w:w="992" w:type="dxa"/>
            <w:gridSpan w:val="2"/>
            <w:shd w:val="clear" w:color="auto" w:fill="auto"/>
          </w:tcPr>
          <w:p w:rsidR="008D73A0" w:rsidRPr="008510EC" w:rsidRDefault="008D73A0" w:rsidP="008D73A0">
            <w:pPr>
              <w:rPr>
                <w:rFonts w:cs="Arial"/>
                <w:sz w:val="22"/>
                <w:szCs w:val="22"/>
              </w:rPr>
            </w:pPr>
            <w:r>
              <w:rPr>
                <w:rFonts w:cs="Arial"/>
                <w:sz w:val="22"/>
                <w:szCs w:val="22"/>
              </w:rPr>
              <w:lastRenderedPageBreak/>
              <w:t>Y</w:t>
            </w:r>
          </w:p>
        </w:tc>
        <w:tc>
          <w:tcPr>
            <w:tcW w:w="3969" w:type="dxa"/>
            <w:shd w:val="clear" w:color="auto" w:fill="auto"/>
          </w:tcPr>
          <w:p w:rsidR="008D73A0" w:rsidRPr="008510EC" w:rsidRDefault="008D73A0" w:rsidP="008D73A0">
            <w:pPr>
              <w:rPr>
                <w:rFonts w:cs="Arial"/>
                <w:sz w:val="22"/>
                <w:szCs w:val="22"/>
              </w:rPr>
            </w:pPr>
            <w:r>
              <w:rPr>
                <w:rFonts w:cs="Arial"/>
                <w:sz w:val="22"/>
                <w:szCs w:val="22"/>
              </w:rPr>
              <w:t xml:space="preserve">Proposals will be put to political </w:t>
            </w:r>
            <w:r>
              <w:rPr>
                <w:rFonts w:cs="Arial"/>
                <w:sz w:val="22"/>
                <w:szCs w:val="22"/>
              </w:rPr>
              <w:lastRenderedPageBreak/>
              <w:t>groups.</w:t>
            </w:r>
          </w:p>
        </w:tc>
        <w:tc>
          <w:tcPr>
            <w:tcW w:w="1559" w:type="dxa"/>
            <w:gridSpan w:val="2"/>
          </w:tcPr>
          <w:p w:rsidR="008D73A0" w:rsidRPr="008510EC" w:rsidRDefault="008D73A0" w:rsidP="008D73A0">
            <w:pPr>
              <w:rPr>
                <w:rFonts w:cs="Arial"/>
                <w:sz w:val="22"/>
                <w:szCs w:val="22"/>
              </w:rPr>
            </w:pPr>
            <w:r w:rsidRPr="008D73A0">
              <w:rPr>
                <w:rFonts w:cs="Arial"/>
                <w:sz w:val="22"/>
                <w:szCs w:val="22"/>
              </w:rPr>
              <w:lastRenderedPageBreak/>
              <w:t xml:space="preserve">Cllr </w:t>
            </w:r>
            <w:r w:rsidRPr="008D73A0">
              <w:rPr>
                <w:rFonts w:cs="Arial"/>
                <w:sz w:val="22"/>
                <w:szCs w:val="22"/>
              </w:rPr>
              <w:lastRenderedPageBreak/>
              <w:t xml:space="preserve">Hollingsworth / Lyndsey </w:t>
            </w:r>
            <w:proofErr w:type="spellStart"/>
            <w:r w:rsidRPr="008D73A0">
              <w:rPr>
                <w:rFonts w:cs="Arial"/>
                <w:sz w:val="22"/>
                <w:szCs w:val="22"/>
              </w:rPr>
              <w:t>Beveridge</w:t>
            </w:r>
            <w:proofErr w:type="spellEnd"/>
          </w:p>
        </w:tc>
        <w:tc>
          <w:tcPr>
            <w:tcW w:w="1560" w:type="dxa"/>
          </w:tcPr>
          <w:p w:rsidR="008D73A0" w:rsidRPr="008510EC" w:rsidRDefault="008D73A0" w:rsidP="008D73A0">
            <w:pPr>
              <w:rPr>
                <w:rFonts w:cs="Arial"/>
                <w:sz w:val="22"/>
                <w:szCs w:val="22"/>
              </w:rPr>
            </w:pPr>
            <w:r>
              <w:rPr>
                <w:rFonts w:cs="Arial"/>
                <w:sz w:val="22"/>
                <w:szCs w:val="22"/>
              </w:rPr>
              <w:lastRenderedPageBreak/>
              <w:t>Dec 2015</w:t>
            </w:r>
          </w:p>
        </w:tc>
      </w:tr>
      <w:tr w:rsidR="008510EC" w:rsidRPr="008510EC" w:rsidTr="00BC1E44">
        <w:trPr>
          <w:trHeight w:val="509"/>
        </w:trPr>
        <w:tc>
          <w:tcPr>
            <w:tcW w:w="13892" w:type="dxa"/>
            <w:gridSpan w:val="10"/>
            <w:shd w:val="clear" w:color="auto" w:fill="D9D9D9" w:themeFill="background1" w:themeFillShade="D9"/>
            <w:vAlign w:val="center"/>
          </w:tcPr>
          <w:p w:rsidR="008510EC" w:rsidRPr="008510EC" w:rsidRDefault="008510EC" w:rsidP="008510EC">
            <w:pPr>
              <w:rPr>
                <w:rFonts w:cs="Arial"/>
                <w:sz w:val="22"/>
                <w:szCs w:val="22"/>
              </w:rPr>
            </w:pPr>
            <w:r w:rsidRPr="008510EC">
              <w:rPr>
                <w:rFonts w:cs="Arial"/>
                <w:b/>
                <w:bCs/>
                <w:szCs w:val="22"/>
              </w:rPr>
              <w:lastRenderedPageBreak/>
              <w:t>Housing Asset Management Strategy – Housing Panel 4 June</w:t>
            </w:r>
          </w:p>
        </w:tc>
      </w:tr>
      <w:tr w:rsidR="008510EC" w:rsidRPr="008510EC" w:rsidTr="003E3F0E">
        <w:tc>
          <w:tcPr>
            <w:tcW w:w="5812" w:type="dxa"/>
            <w:gridSpan w:val="4"/>
            <w:shd w:val="clear" w:color="auto" w:fill="auto"/>
            <w:vAlign w:val="center"/>
          </w:tcPr>
          <w:p w:rsidR="008510EC" w:rsidRPr="00B44C14" w:rsidRDefault="008510EC" w:rsidP="00912525">
            <w:pPr>
              <w:rPr>
                <w:rFonts w:cs="Arial"/>
                <w:b/>
                <w:sz w:val="22"/>
                <w:szCs w:val="22"/>
              </w:rPr>
            </w:pPr>
            <w:r w:rsidRPr="00B44C14">
              <w:rPr>
                <w:rFonts w:cs="Arial"/>
                <w:b/>
                <w:sz w:val="22"/>
                <w:szCs w:val="22"/>
              </w:rPr>
              <w:t>Recommendation</w:t>
            </w:r>
          </w:p>
        </w:tc>
        <w:tc>
          <w:tcPr>
            <w:tcW w:w="992" w:type="dxa"/>
            <w:gridSpan w:val="2"/>
            <w:shd w:val="clear" w:color="auto" w:fill="auto"/>
            <w:vAlign w:val="center"/>
          </w:tcPr>
          <w:p w:rsidR="008510EC" w:rsidRPr="00B44C14" w:rsidRDefault="008510EC" w:rsidP="00912525">
            <w:pPr>
              <w:rPr>
                <w:rFonts w:cs="Arial"/>
                <w:b/>
                <w:sz w:val="22"/>
                <w:szCs w:val="22"/>
              </w:rPr>
            </w:pPr>
            <w:r w:rsidRPr="00B44C14">
              <w:rPr>
                <w:rFonts w:cs="Arial"/>
                <w:b/>
                <w:sz w:val="22"/>
                <w:szCs w:val="22"/>
              </w:rPr>
              <w:t>Agreed Y/N</w:t>
            </w:r>
          </w:p>
        </w:tc>
        <w:tc>
          <w:tcPr>
            <w:tcW w:w="3969" w:type="dxa"/>
            <w:shd w:val="clear" w:color="auto" w:fill="auto"/>
            <w:vAlign w:val="center"/>
          </w:tcPr>
          <w:p w:rsidR="008510EC" w:rsidRPr="00B44C14" w:rsidRDefault="008510EC" w:rsidP="00912525">
            <w:pPr>
              <w:rPr>
                <w:rFonts w:cs="Arial"/>
                <w:b/>
                <w:sz w:val="22"/>
                <w:szCs w:val="22"/>
              </w:rPr>
            </w:pPr>
            <w:r w:rsidRPr="00B44C14">
              <w:rPr>
                <w:rFonts w:cs="Arial"/>
                <w:b/>
                <w:sz w:val="22"/>
                <w:szCs w:val="22"/>
              </w:rPr>
              <w:t>Executive response</w:t>
            </w:r>
          </w:p>
        </w:tc>
        <w:tc>
          <w:tcPr>
            <w:tcW w:w="1559" w:type="dxa"/>
            <w:gridSpan w:val="2"/>
            <w:vAlign w:val="center"/>
          </w:tcPr>
          <w:p w:rsidR="008510EC" w:rsidRPr="00B44C14" w:rsidRDefault="008510EC" w:rsidP="00912525">
            <w:pPr>
              <w:rPr>
                <w:rFonts w:cs="Arial"/>
                <w:b/>
                <w:sz w:val="22"/>
                <w:szCs w:val="22"/>
              </w:rPr>
            </w:pPr>
            <w:r w:rsidRPr="00B44C14">
              <w:rPr>
                <w:rFonts w:cs="Arial"/>
                <w:b/>
                <w:sz w:val="22"/>
                <w:szCs w:val="22"/>
              </w:rPr>
              <w:t xml:space="preserve">Lead Member &amp; Officer </w:t>
            </w:r>
          </w:p>
        </w:tc>
        <w:tc>
          <w:tcPr>
            <w:tcW w:w="1560" w:type="dxa"/>
            <w:vAlign w:val="center"/>
          </w:tcPr>
          <w:p w:rsidR="008510EC" w:rsidRPr="00B44C14" w:rsidRDefault="008510EC" w:rsidP="00912525">
            <w:pPr>
              <w:rPr>
                <w:rFonts w:cs="Arial"/>
                <w:b/>
                <w:sz w:val="22"/>
                <w:szCs w:val="22"/>
              </w:rPr>
            </w:pPr>
            <w:r w:rsidRPr="00B44C14">
              <w:rPr>
                <w:rFonts w:cs="Arial"/>
                <w:b/>
                <w:sz w:val="22"/>
                <w:szCs w:val="22"/>
              </w:rPr>
              <w:t>Implemented Y/N / due date</w:t>
            </w:r>
          </w:p>
        </w:tc>
      </w:tr>
      <w:tr w:rsidR="008510EC" w:rsidRPr="008510EC" w:rsidTr="003E3F0E">
        <w:tc>
          <w:tcPr>
            <w:tcW w:w="5812" w:type="dxa"/>
            <w:gridSpan w:val="4"/>
            <w:shd w:val="clear" w:color="auto" w:fill="auto"/>
            <w:vAlign w:val="center"/>
          </w:tcPr>
          <w:p w:rsidR="008510EC" w:rsidRPr="00B44C14" w:rsidRDefault="008510EC" w:rsidP="00912525">
            <w:pPr>
              <w:rPr>
                <w:rFonts w:cs="Arial"/>
                <w:sz w:val="22"/>
                <w:szCs w:val="22"/>
              </w:rPr>
            </w:pPr>
            <w:r w:rsidRPr="00EC1706">
              <w:rPr>
                <w:rFonts w:cs="Arial"/>
                <w:sz w:val="22"/>
                <w:szCs w:val="22"/>
              </w:rPr>
              <w:t xml:space="preserve">1. We note that a number City Council owned garages are not in use and recommend that the City Council reviews how it could make better use of these assets (for example as sites for new affordable housing or free off street car parking for residents), treating several garage sites as a virtual site.  Consideration should be given to explicitly stating this aim, currently implied, in the Asset Management Strategy.  </w:t>
            </w:r>
          </w:p>
        </w:tc>
        <w:tc>
          <w:tcPr>
            <w:tcW w:w="992" w:type="dxa"/>
            <w:gridSpan w:val="2"/>
            <w:shd w:val="clear" w:color="auto" w:fill="auto"/>
          </w:tcPr>
          <w:p w:rsidR="008510EC" w:rsidRPr="00B44C14" w:rsidRDefault="008510EC" w:rsidP="00912525">
            <w:pPr>
              <w:rPr>
                <w:rFonts w:cs="Arial"/>
                <w:sz w:val="22"/>
                <w:szCs w:val="22"/>
              </w:rPr>
            </w:pPr>
            <w:r>
              <w:rPr>
                <w:rFonts w:cs="Arial"/>
                <w:sz w:val="22"/>
                <w:szCs w:val="22"/>
              </w:rPr>
              <w:t>In part</w:t>
            </w:r>
          </w:p>
        </w:tc>
        <w:tc>
          <w:tcPr>
            <w:tcW w:w="3969" w:type="dxa"/>
            <w:shd w:val="clear" w:color="auto" w:fill="auto"/>
          </w:tcPr>
          <w:p w:rsidR="008510EC" w:rsidRPr="00706748" w:rsidRDefault="008510EC" w:rsidP="00F359DF">
            <w:pPr>
              <w:rPr>
                <w:rFonts w:cs="Arial"/>
                <w:sz w:val="22"/>
                <w:szCs w:val="22"/>
              </w:rPr>
            </w:pPr>
            <w:r>
              <w:rPr>
                <w:rFonts w:cs="Arial"/>
                <w:sz w:val="22"/>
                <w:szCs w:val="22"/>
              </w:rPr>
              <w:t>Garages are not housing assets so won’t be mentioned in this strategy but we will be mak</w:t>
            </w:r>
            <w:r w:rsidR="00F359DF">
              <w:rPr>
                <w:rFonts w:cs="Arial"/>
                <w:sz w:val="22"/>
                <w:szCs w:val="22"/>
              </w:rPr>
              <w:t>ing</w:t>
            </w:r>
            <w:r>
              <w:rPr>
                <w:rFonts w:cs="Arial"/>
                <w:sz w:val="22"/>
                <w:szCs w:val="22"/>
              </w:rPr>
              <w:t xml:space="preserve"> better use of our garage assets.</w:t>
            </w:r>
          </w:p>
        </w:tc>
        <w:tc>
          <w:tcPr>
            <w:tcW w:w="1559" w:type="dxa"/>
            <w:gridSpan w:val="2"/>
          </w:tcPr>
          <w:p w:rsidR="008510EC" w:rsidRPr="00B44C14" w:rsidRDefault="008510EC" w:rsidP="00912525">
            <w:pPr>
              <w:rPr>
                <w:rFonts w:cs="Arial"/>
                <w:sz w:val="22"/>
                <w:szCs w:val="22"/>
              </w:rPr>
            </w:pPr>
            <w:r>
              <w:rPr>
                <w:rFonts w:cs="Arial"/>
                <w:sz w:val="22"/>
                <w:szCs w:val="22"/>
              </w:rPr>
              <w:t xml:space="preserve">Scott </w:t>
            </w:r>
            <w:proofErr w:type="spellStart"/>
            <w:r>
              <w:rPr>
                <w:rFonts w:cs="Arial"/>
                <w:sz w:val="22"/>
                <w:szCs w:val="22"/>
              </w:rPr>
              <w:t>Seamons</w:t>
            </w:r>
            <w:proofErr w:type="spellEnd"/>
            <w:r>
              <w:rPr>
                <w:rFonts w:cs="Arial"/>
                <w:sz w:val="22"/>
                <w:szCs w:val="22"/>
              </w:rPr>
              <w:t xml:space="preserve"> / Stephen Clarke</w:t>
            </w:r>
          </w:p>
        </w:tc>
        <w:tc>
          <w:tcPr>
            <w:tcW w:w="1560" w:type="dxa"/>
          </w:tcPr>
          <w:p w:rsidR="008510EC" w:rsidRDefault="00F359DF" w:rsidP="00912525">
            <w:r>
              <w:t>N/A</w:t>
            </w:r>
          </w:p>
        </w:tc>
      </w:tr>
      <w:tr w:rsidR="008510EC" w:rsidRPr="008510EC" w:rsidTr="00BC1E44">
        <w:trPr>
          <w:trHeight w:val="516"/>
        </w:trPr>
        <w:tc>
          <w:tcPr>
            <w:tcW w:w="13892" w:type="dxa"/>
            <w:gridSpan w:val="10"/>
            <w:shd w:val="clear" w:color="auto" w:fill="D9D9D9" w:themeFill="background1" w:themeFillShade="D9"/>
            <w:vAlign w:val="center"/>
          </w:tcPr>
          <w:p w:rsidR="008510EC" w:rsidRPr="008510EC" w:rsidRDefault="008510EC" w:rsidP="00912525">
            <w:pPr>
              <w:rPr>
                <w:rFonts w:cs="Arial"/>
                <w:b/>
                <w:bCs/>
                <w:sz w:val="22"/>
                <w:szCs w:val="22"/>
              </w:rPr>
            </w:pPr>
            <w:r w:rsidRPr="008510EC">
              <w:rPr>
                <w:rFonts w:cs="Arial"/>
                <w:b/>
                <w:bCs/>
                <w:szCs w:val="22"/>
              </w:rPr>
              <w:t>Review of the HMO Licensing Scheme – Housing Panel  4 June</w:t>
            </w:r>
          </w:p>
        </w:tc>
      </w:tr>
      <w:tr w:rsidR="008510EC" w:rsidRPr="008510EC" w:rsidTr="003E3F0E">
        <w:tc>
          <w:tcPr>
            <w:tcW w:w="5812" w:type="dxa"/>
            <w:gridSpan w:val="4"/>
            <w:shd w:val="clear" w:color="auto" w:fill="auto"/>
            <w:vAlign w:val="center"/>
          </w:tcPr>
          <w:p w:rsidR="008510EC" w:rsidRPr="00B44C14" w:rsidRDefault="008510EC" w:rsidP="00912525">
            <w:pPr>
              <w:rPr>
                <w:rFonts w:cs="Arial"/>
                <w:b/>
                <w:sz w:val="22"/>
                <w:szCs w:val="22"/>
              </w:rPr>
            </w:pPr>
            <w:r w:rsidRPr="00B44C14">
              <w:rPr>
                <w:rFonts w:cs="Arial"/>
                <w:b/>
                <w:sz w:val="22"/>
                <w:szCs w:val="22"/>
              </w:rPr>
              <w:t>Recommendation</w:t>
            </w:r>
          </w:p>
        </w:tc>
        <w:tc>
          <w:tcPr>
            <w:tcW w:w="992" w:type="dxa"/>
            <w:gridSpan w:val="2"/>
            <w:shd w:val="clear" w:color="auto" w:fill="auto"/>
            <w:vAlign w:val="center"/>
          </w:tcPr>
          <w:p w:rsidR="008510EC" w:rsidRPr="00B44C14" w:rsidRDefault="008510EC" w:rsidP="00912525">
            <w:pPr>
              <w:rPr>
                <w:rFonts w:cs="Arial"/>
                <w:b/>
                <w:sz w:val="22"/>
                <w:szCs w:val="22"/>
              </w:rPr>
            </w:pPr>
            <w:r w:rsidRPr="00B44C14">
              <w:rPr>
                <w:rFonts w:cs="Arial"/>
                <w:b/>
                <w:sz w:val="22"/>
                <w:szCs w:val="22"/>
              </w:rPr>
              <w:t>Agreed Y/N</w:t>
            </w:r>
          </w:p>
        </w:tc>
        <w:tc>
          <w:tcPr>
            <w:tcW w:w="3969" w:type="dxa"/>
            <w:shd w:val="clear" w:color="auto" w:fill="auto"/>
            <w:vAlign w:val="center"/>
          </w:tcPr>
          <w:p w:rsidR="008510EC" w:rsidRPr="00B44C14" w:rsidRDefault="008510EC" w:rsidP="00912525">
            <w:pPr>
              <w:rPr>
                <w:rFonts w:cs="Arial"/>
                <w:b/>
                <w:sz w:val="22"/>
                <w:szCs w:val="22"/>
              </w:rPr>
            </w:pPr>
            <w:r w:rsidRPr="00B44C14">
              <w:rPr>
                <w:rFonts w:cs="Arial"/>
                <w:b/>
                <w:sz w:val="22"/>
                <w:szCs w:val="22"/>
              </w:rPr>
              <w:t>Executive response</w:t>
            </w:r>
          </w:p>
        </w:tc>
        <w:tc>
          <w:tcPr>
            <w:tcW w:w="1559" w:type="dxa"/>
            <w:gridSpan w:val="2"/>
            <w:vAlign w:val="center"/>
          </w:tcPr>
          <w:p w:rsidR="008510EC" w:rsidRPr="00B44C14" w:rsidRDefault="008510EC" w:rsidP="00912525">
            <w:pPr>
              <w:rPr>
                <w:rFonts w:cs="Arial"/>
                <w:b/>
                <w:sz w:val="22"/>
                <w:szCs w:val="22"/>
              </w:rPr>
            </w:pPr>
            <w:r w:rsidRPr="00B44C14">
              <w:rPr>
                <w:rFonts w:cs="Arial"/>
                <w:b/>
                <w:sz w:val="22"/>
                <w:szCs w:val="22"/>
              </w:rPr>
              <w:t xml:space="preserve">Lead Member &amp; Officer </w:t>
            </w:r>
          </w:p>
        </w:tc>
        <w:tc>
          <w:tcPr>
            <w:tcW w:w="1560" w:type="dxa"/>
            <w:vAlign w:val="center"/>
          </w:tcPr>
          <w:p w:rsidR="008510EC" w:rsidRPr="00B44C14" w:rsidRDefault="008510EC" w:rsidP="00912525">
            <w:pPr>
              <w:rPr>
                <w:rFonts w:cs="Arial"/>
                <w:b/>
                <w:sz w:val="22"/>
                <w:szCs w:val="22"/>
              </w:rPr>
            </w:pPr>
            <w:r w:rsidRPr="00B44C14">
              <w:rPr>
                <w:rFonts w:cs="Arial"/>
                <w:b/>
                <w:sz w:val="22"/>
                <w:szCs w:val="22"/>
              </w:rPr>
              <w:t>Implemented Y/N / due date</w:t>
            </w:r>
          </w:p>
        </w:tc>
      </w:tr>
      <w:tr w:rsidR="008510EC" w:rsidRPr="008510EC" w:rsidTr="003E3F0E">
        <w:tc>
          <w:tcPr>
            <w:tcW w:w="5812" w:type="dxa"/>
            <w:gridSpan w:val="4"/>
            <w:shd w:val="clear" w:color="auto" w:fill="auto"/>
            <w:vAlign w:val="center"/>
          </w:tcPr>
          <w:p w:rsidR="008510EC" w:rsidRPr="00B44C14" w:rsidRDefault="008510EC" w:rsidP="00F359DF">
            <w:pPr>
              <w:rPr>
                <w:rFonts w:cs="Arial"/>
                <w:sz w:val="22"/>
                <w:szCs w:val="22"/>
              </w:rPr>
            </w:pPr>
            <w:r w:rsidRPr="00EC1706">
              <w:rPr>
                <w:rFonts w:cs="Arial"/>
                <w:sz w:val="22"/>
                <w:szCs w:val="22"/>
              </w:rPr>
              <w:t xml:space="preserve">1. </w:t>
            </w:r>
            <w:r w:rsidR="00F359DF">
              <w:rPr>
                <w:rFonts w:cs="Arial"/>
                <w:sz w:val="22"/>
                <w:szCs w:val="22"/>
              </w:rPr>
              <w:t>T</w:t>
            </w:r>
            <w:r w:rsidRPr="00EC1706">
              <w:rPr>
                <w:rFonts w:cs="Arial"/>
                <w:sz w:val="22"/>
                <w:szCs w:val="22"/>
              </w:rPr>
              <w:t xml:space="preserve">hat the City Council renews the HMO licensing scheme in its entirety for a further 5 years (option 3).  Consideration should be given to appropriate incentives and disincentives for landlords, and to the balance between taking a more pro-active approach to compliance whilst continuing efforts to extend the licensing scheme to cover more HMOs.  </w:t>
            </w:r>
          </w:p>
        </w:tc>
        <w:tc>
          <w:tcPr>
            <w:tcW w:w="992" w:type="dxa"/>
            <w:gridSpan w:val="2"/>
            <w:shd w:val="clear" w:color="auto" w:fill="auto"/>
          </w:tcPr>
          <w:p w:rsidR="008510EC" w:rsidRPr="00B44C14" w:rsidRDefault="008510EC" w:rsidP="00912525">
            <w:pPr>
              <w:rPr>
                <w:rFonts w:cs="Arial"/>
                <w:sz w:val="22"/>
                <w:szCs w:val="22"/>
              </w:rPr>
            </w:pPr>
            <w:r>
              <w:rPr>
                <w:rFonts w:cs="Arial"/>
                <w:sz w:val="22"/>
                <w:szCs w:val="22"/>
              </w:rPr>
              <w:t>Y</w:t>
            </w:r>
          </w:p>
        </w:tc>
        <w:tc>
          <w:tcPr>
            <w:tcW w:w="3969" w:type="dxa"/>
            <w:shd w:val="clear" w:color="auto" w:fill="auto"/>
          </w:tcPr>
          <w:p w:rsidR="008510EC" w:rsidRPr="00A068C0" w:rsidRDefault="008510EC" w:rsidP="00912525">
            <w:pPr>
              <w:rPr>
                <w:rFonts w:cs="Arial"/>
                <w:sz w:val="22"/>
                <w:szCs w:val="22"/>
              </w:rPr>
            </w:pPr>
          </w:p>
        </w:tc>
        <w:tc>
          <w:tcPr>
            <w:tcW w:w="1559" w:type="dxa"/>
            <w:gridSpan w:val="2"/>
          </w:tcPr>
          <w:p w:rsidR="008510EC" w:rsidRPr="00B44C14" w:rsidRDefault="008510EC" w:rsidP="00912525">
            <w:pPr>
              <w:rPr>
                <w:rFonts w:cs="Arial"/>
                <w:sz w:val="22"/>
                <w:szCs w:val="22"/>
              </w:rPr>
            </w:pPr>
            <w:r>
              <w:rPr>
                <w:rFonts w:cs="Arial"/>
                <w:sz w:val="22"/>
                <w:szCs w:val="22"/>
              </w:rPr>
              <w:t xml:space="preserve">Scott </w:t>
            </w:r>
            <w:proofErr w:type="spellStart"/>
            <w:r>
              <w:rPr>
                <w:rFonts w:cs="Arial"/>
                <w:sz w:val="22"/>
                <w:szCs w:val="22"/>
              </w:rPr>
              <w:t>Seamons</w:t>
            </w:r>
            <w:proofErr w:type="spellEnd"/>
            <w:r>
              <w:rPr>
                <w:rFonts w:cs="Arial"/>
                <w:sz w:val="22"/>
                <w:szCs w:val="22"/>
              </w:rPr>
              <w:t xml:space="preserve"> / Ian Wright</w:t>
            </w:r>
          </w:p>
        </w:tc>
        <w:tc>
          <w:tcPr>
            <w:tcW w:w="1560" w:type="dxa"/>
          </w:tcPr>
          <w:p w:rsidR="008510EC" w:rsidRDefault="008510EC" w:rsidP="00912525">
            <w:r>
              <w:t>Y</w:t>
            </w:r>
          </w:p>
        </w:tc>
      </w:tr>
      <w:tr w:rsidR="008510EC" w:rsidRPr="008510EC" w:rsidTr="003E3F0E">
        <w:tc>
          <w:tcPr>
            <w:tcW w:w="5812" w:type="dxa"/>
            <w:gridSpan w:val="4"/>
            <w:shd w:val="clear" w:color="auto" w:fill="auto"/>
            <w:vAlign w:val="center"/>
          </w:tcPr>
          <w:p w:rsidR="008510EC" w:rsidRPr="00EC1706" w:rsidRDefault="008510EC" w:rsidP="00912525">
            <w:pPr>
              <w:rPr>
                <w:rFonts w:cs="Arial"/>
                <w:sz w:val="22"/>
                <w:szCs w:val="22"/>
              </w:rPr>
            </w:pPr>
            <w:r w:rsidRPr="00EC1706">
              <w:rPr>
                <w:rFonts w:cs="Arial"/>
                <w:sz w:val="22"/>
                <w:szCs w:val="22"/>
              </w:rPr>
              <w:t xml:space="preserve">2. </w:t>
            </w:r>
            <w:r w:rsidR="00BC1E44">
              <w:rPr>
                <w:rFonts w:cs="Arial"/>
                <w:sz w:val="22"/>
                <w:szCs w:val="22"/>
              </w:rPr>
              <w:t>T</w:t>
            </w:r>
            <w:r w:rsidRPr="00EC1706">
              <w:rPr>
                <w:rFonts w:cs="Arial"/>
                <w:sz w:val="22"/>
                <w:szCs w:val="22"/>
              </w:rPr>
              <w:t>hat:</w:t>
            </w:r>
          </w:p>
          <w:p w:rsidR="008510EC" w:rsidRPr="00EC1706" w:rsidRDefault="008510EC" w:rsidP="00912525">
            <w:pPr>
              <w:rPr>
                <w:rFonts w:cs="Arial"/>
                <w:sz w:val="22"/>
                <w:szCs w:val="22"/>
              </w:rPr>
            </w:pPr>
            <w:r w:rsidRPr="00EC1706">
              <w:rPr>
                <w:rFonts w:cs="Arial"/>
                <w:sz w:val="22"/>
                <w:szCs w:val="22"/>
              </w:rPr>
              <w:t>a) Enforcement within the Private Rented Sector is a corporate priority,</w:t>
            </w:r>
          </w:p>
          <w:p w:rsidR="008510EC" w:rsidRPr="00B44C14" w:rsidRDefault="008510EC" w:rsidP="00BC1E44">
            <w:pPr>
              <w:rPr>
                <w:rFonts w:cs="Arial"/>
                <w:sz w:val="22"/>
                <w:szCs w:val="22"/>
              </w:rPr>
            </w:pPr>
            <w:r w:rsidRPr="00EC1706">
              <w:rPr>
                <w:rFonts w:cs="Arial"/>
                <w:sz w:val="22"/>
                <w:szCs w:val="22"/>
              </w:rPr>
              <w:t xml:space="preserve">b) The </w:t>
            </w:r>
            <w:r w:rsidR="00BC1E44" w:rsidRPr="00BC1E44">
              <w:rPr>
                <w:rFonts w:cs="Arial"/>
                <w:sz w:val="22"/>
                <w:szCs w:val="22"/>
              </w:rPr>
              <w:t xml:space="preserve">Corporate Enforcement Policy </w:t>
            </w:r>
            <w:r w:rsidRPr="00EC1706">
              <w:rPr>
                <w:rFonts w:cs="Arial"/>
                <w:sz w:val="22"/>
                <w:szCs w:val="22"/>
              </w:rPr>
              <w:t>recognises that the City Council should take a different approach to enforcement in different sectors (e.g. Private Rented Sector, Public Spaces Protection Orders, etc.), rather than a one size fits all approach.</w:t>
            </w:r>
          </w:p>
        </w:tc>
        <w:tc>
          <w:tcPr>
            <w:tcW w:w="992" w:type="dxa"/>
            <w:gridSpan w:val="2"/>
            <w:shd w:val="clear" w:color="auto" w:fill="auto"/>
          </w:tcPr>
          <w:p w:rsidR="008510EC" w:rsidRPr="00B44C14" w:rsidRDefault="008510EC" w:rsidP="00912525">
            <w:pPr>
              <w:rPr>
                <w:rFonts w:cs="Arial"/>
                <w:sz w:val="22"/>
                <w:szCs w:val="22"/>
              </w:rPr>
            </w:pPr>
            <w:r>
              <w:rPr>
                <w:rFonts w:cs="Arial"/>
                <w:sz w:val="22"/>
                <w:szCs w:val="22"/>
              </w:rPr>
              <w:t>Y</w:t>
            </w:r>
          </w:p>
        </w:tc>
        <w:tc>
          <w:tcPr>
            <w:tcW w:w="3969" w:type="dxa"/>
            <w:shd w:val="clear" w:color="auto" w:fill="auto"/>
          </w:tcPr>
          <w:p w:rsidR="008510EC" w:rsidRPr="00A068C0" w:rsidRDefault="008510EC" w:rsidP="00912525">
            <w:pPr>
              <w:rPr>
                <w:rFonts w:cs="Arial"/>
                <w:sz w:val="22"/>
                <w:szCs w:val="22"/>
              </w:rPr>
            </w:pPr>
          </w:p>
        </w:tc>
        <w:tc>
          <w:tcPr>
            <w:tcW w:w="1559" w:type="dxa"/>
            <w:gridSpan w:val="2"/>
          </w:tcPr>
          <w:p w:rsidR="008510EC" w:rsidRPr="00B44C14" w:rsidRDefault="008510EC" w:rsidP="00912525">
            <w:pPr>
              <w:rPr>
                <w:rFonts w:cs="Arial"/>
                <w:sz w:val="22"/>
                <w:szCs w:val="22"/>
              </w:rPr>
            </w:pPr>
            <w:r>
              <w:rPr>
                <w:rFonts w:cs="Arial"/>
                <w:sz w:val="22"/>
                <w:szCs w:val="22"/>
              </w:rPr>
              <w:t>Alex Hollingsworth / Cathy Gallagher</w:t>
            </w:r>
          </w:p>
        </w:tc>
        <w:tc>
          <w:tcPr>
            <w:tcW w:w="1560" w:type="dxa"/>
          </w:tcPr>
          <w:p w:rsidR="008510EC" w:rsidRDefault="008510EC" w:rsidP="00912525">
            <w:r>
              <w:t>Nov 2015</w:t>
            </w:r>
          </w:p>
        </w:tc>
      </w:tr>
      <w:tr w:rsidR="002F3A2A" w:rsidRPr="00B44C14" w:rsidTr="00BC1E44">
        <w:trPr>
          <w:trHeight w:val="430"/>
        </w:trPr>
        <w:tc>
          <w:tcPr>
            <w:tcW w:w="1389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2F3A2A" w:rsidRPr="00B44C14" w:rsidRDefault="00EC1706" w:rsidP="002F3A2A">
            <w:pPr>
              <w:rPr>
                <w:rFonts w:cs="Arial"/>
                <w:b/>
                <w:bCs/>
                <w:sz w:val="22"/>
                <w:szCs w:val="22"/>
              </w:rPr>
            </w:pPr>
            <w:r>
              <w:rPr>
                <w:rFonts w:cs="Arial"/>
                <w:b/>
                <w:bCs/>
                <w:sz w:val="22"/>
                <w:szCs w:val="22"/>
              </w:rPr>
              <w:lastRenderedPageBreak/>
              <w:t>Report of the Local Economy Panel</w:t>
            </w:r>
            <w:r w:rsidR="008510EC">
              <w:rPr>
                <w:rFonts w:cs="Arial"/>
                <w:b/>
                <w:bCs/>
                <w:sz w:val="22"/>
                <w:szCs w:val="22"/>
              </w:rPr>
              <w:t xml:space="preserve"> – 2 June Scrutiny Committee</w:t>
            </w:r>
          </w:p>
        </w:tc>
      </w:tr>
      <w:tr w:rsidR="002F3A2A" w:rsidRPr="00B44C14" w:rsidTr="003E3F0E">
        <w:tc>
          <w:tcPr>
            <w:tcW w:w="5812" w:type="dxa"/>
            <w:gridSpan w:val="4"/>
            <w:shd w:val="clear" w:color="auto" w:fill="auto"/>
            <w:vAlign w:val="center"/>
          </w:tcPr>
          <w:p w:rsidR="002F3A2A" w:rsidRPr="00B44C14" w:rsidRDefault="002F3A2A" w:rsidP="002F3A2A">
            <w:pPr>
              <w:rPr>
                <w:rFonts w:cs="Arial"/>
                <w:b/>
                <w:sz w:val="22"/>
                <w:szCs w:val="22"/>
              </w:rPr>
            </w:pPr>
            <w:r w:rsidRPr="00B44C14">
              <w:rPr>
                <w:rFonts w:cs="Arial"/>
                <w:b/>
                <w:sz w:val="22"/>
                <w:szCs w:val="22"/>
              </w:rPr>
              <w:t>Recommendation</w:t>
            </w:r>
            <w:r>
              <w:rPr>
                <w:rFonts w:cs="Arial"/>
                <w:b/>
                <w:sz w:val="22"/>
                <w:szCs w:val="22"/>
              </w:rPr>
              <w:t>s</w:t>
            </w:r>
          </w:p>
        </w:tc>
        <w:tc>
          <w:tcPr>
            <w:tcW w:w="992" w:type="dxa"/>
            <w:gridSpan w:val="2"/>
            <w:shd w:val="clear" w:color="auto" w:fill="auto"/>
            <w:vAlign w:val="center"/>
          </w:tcPr>
          <w:p w:rsidR="002F3A2A" w:rsidRPr="00B44C14" w:rsidRDefault="002F3A2A" w:rsidP="002F3A2A">
            <w:pPr>
              <w:rPr>
                <w:rFonts w:cs="Arial"/>
                <w:b/>
                <w:sz w:val="22"/>
                <w:szCs w:val="22"/>
              </w:rPr>
            </w:pPr>
            <w:r w:rsidRPr="00B44C14">
              <w:rPr>
                <w:rFonts w:cs="Arial"/>
                <w:b/>
                <w:sz w:val="22"/>
                <w:szCs w:val="22"/>
              </w:rPr>
              <w:t>Agreed Y/N</w:t>
            </w:r>
          </w:p>
        </w:tc>
        <w:tc>
          <w:tcPr>
            <w:tcW w:w="3969"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Executive response</w:t>
            </w:r>
          </w:p>
        </w:tc>
        <w:tc>
          <w:tcPr>
            <w:tcW w:w="1418" w:type="dxa"/>
            <w:vAlign w:val="center"/>
          </w:tcPr>
          <w:p w:rsidR="002F3A2A" w:rsidRPr="00B44C14" w:rsidRDefault="002F3A2A" w:rsidP="002F3A2A">
            <w:pPr>
              <w:rPr>
                <w:rFonts w:cs="Arial"/>
                <w:b/>
                <w:sz w:val="22"/>
                <w:szCs w:val="22"/>
              </w:rPr>
            </w:pPr>
            <w:r w:rsidRPr="00B44C14">
              <w:rPr>
                <w:rFonts w:cs="Arial"/>
                <w:b/>
                <w:sz w:val="22"/>
                <w:szCs w:val="22"/>
              </w:rPr>
              <w:t xml:space="preserve">Lead Member &amp; Officer </w:t>
            </w:r>
          </w:p>
        </w:tc>
        <w:tc>
          <w:tcPr>
            <w:tcW w:w="1701" w:type="dxa"/>
            <w:gridSpan w:val="2"/>
            <w:vAlign w:val="center"/>
          </w:tcPr>
          <w:p w:rsidR="002F3A2A" w:rsidRPr="00B44C14" w:rsidRDefault="002F3A2A" w:rsidP="006F4EBF">
            <w:pPr>
              <w:rPr>
                <w:rFonts w:cs="Arial"/>
                <w:b/>
                <w:sz w:val="22"/>
                <w:szCs w:val="22"/>
              </w:rPr>
            </w:pPr>
            <w:r w:rsidRPr="00B44C14">
              <w:rPr>
                <w:rFonts w:cs="Arial"/>
                <w:b/>
                <w:sz w:val="22"/>
                <w:szCs w:val="22"/>
              </w:rPr>
              <w:t xml:space="preserve">Implemented Y/N / </w:t>
            </w:r>
            <w:r w:rsidR="006F4EBF">
              <w:rPr>
                <w:rFonts w:cs="Arial"/>
                <w:b/>
                <w:sz w:val="22"/>
                <w:szCs w:val="22"/>
              </w:rPr>
              <w:t xml:space="preserve">update </w:t>
            </w:r>
            <w:r w:rsidRPr="00B44C14">
              <w:rPr>
                <w:rFonts w:cs="Arial"/>
                <w:b/>
                <w:sz w:val="22"/>
                <w:szCs w:val="22"/>
              </w:rPr>
              <w:t xml:space="preserve">due </w:t>
            </w:r>
            <w:r w:rsidR="006F4EBF">
              <w:rPr>
                <w:rFonts w:cs="Arial"/>
                <w:b/>
                <w:sz w:val="22"/>
                <w:szCs w:val="22"/>
              </w:rPr>
              <w:t>date</w:t>
            </w:r>
          </w:p>
        </w:tc>
      </w:tr>
      <w:tr w:rsidR="00EC1706" w:rsidTr="003E3F0E">
        <w:tc>
          <w:tcPr>
            <w:tcW w:w="5812" w:type="dxa"/>
            <w:gridSpan w:val="4"/>
            <w:shd w:val="clear" w:color="auto" w:fill="auto"/>
          </w:tcPr>
          <w:p w:rsidR="00EC1706" w:rsidRPr="0066079B" w:rsidRDefault="00EC1706" w:rsidP="00627800">
            <w:pPr>
              <w:rPr>
                <w:rFonts w:cs="Arial"/>
              </w:rPr>
            </w:pPr>
            <w:r w:rsidRPr="0066079B">
              <w:rPr>
                <w:rFonts w:cs="Arial"/>
              </w:rPr>
              <w:t xml:space="preserve">1. </w:t>
            </w:r>
            <w:r w:rsidR="00F359DF">
              <w:rPr>
                <w:rFonts w:cs="Arial"/>
              </w:rPr>
              <w:t>T</w:t>
            </w:r>
            <w:r w:rsidRPr="0066079B">
              <w:rPr>
                <w:rFonts w:cs="Arial"/>
              </w:rPr>
              <w:t>hat the City Council:</w:t>
            </w:r>
          </w:p>
          <w:p w:rsidR="00EC1706" w:rsidRPr="0066079B" w:rsidRDefault="00EC1706" w:rsidP="00627800">
            <w:pPr>
              <w:rPr>
                <w:rFonts w:cs="Arial"/>
              </w:rPr>
            </w:pPr>
            <w:r w:rsidRPr="0066079B">
              <w:rPr>
                <w:rFonts w:cs="Arial"/>
              </w:rPr>
              <w:t>a) Ensures that information about appealing to the Valuation Office Agency is made available to local businesses.  In particular, this information should be communicated to all independent traders who may be affected by the major redevelopments taking place in Oxford.</w:t>
            </w:r>
          </w:p>
          <w:p w:rsidR="00EC1706" w:rsidRPr="00AC577F" w:rsidRDefault="00EC1706" w:rsidP="00627800">
            <w:pPr>
              <w:rPr>
                <w:rFonts w:cs="Arial"/>
              </w:rPr>
            </w:pPr>
            <w:r w:rsidRPr="0066079B">
              <w:rPr>
                <w:rFonts w:cs="Arial"/>
              </w:rPr>
              <w:t>b) Takes any opportunities to join with other local authorities to lobby the new Secretary of State for Communities and Local Government for more council controls over business rates.</w:t>
            </w:r>
          </w:p>
        </w:tc>
        <w:tc>
          <w:tcPr>
            <w:tcW w:w="992" w:type="dxa"/>
            <w:gridSpan w:val="2"/>
            <w:shd w:val="clear" w:color="auto" w:fill="auto"/>
          </w:tcPr>
          <w:p w:rsidR="00EC1706" w:rsidRPr="00AC577F" w:rsidRDefault="00EC1706" w:rsidP="00627800">
            <w:pPr>
              <w:rPr>
                <w:rFonts w:cs="Arial"/>
              </w:rPr>
            </w:pPr>
            <w:r>
              <w:rPr>
                <w:rFonts w:cs="Arial"/>
              </w:rPr>
              <w:t>yes</w:t>
            </w:r>
          </w:p>
        </w:tc>
        <w:tc>
          <w:tcPr>
            <w:tcW w:w="3969" w:type="dxa"/>
            <w:shd w:val="clear" w:color="auto" w:fill="auto"/>
          </w:tcPr>
          <w:p w:rsidR="00EC1706" w:rsidRPr="00AC577F" w:rsidRDefault="00EC1706" w:rsidP="00627800">
            <w:pPr>
              <w:rPr>
                <w:rFonts w:cs="Arial"/>
              </w:rPr>
            </w:pPr>
            <w:r>
              <w:rPr>
                <w:rFonts w:cs="Arial"/>
              </w:rPr>
              <w:t>There is no doubt that business rate reform and/or local capacity to benefit from business rate growth on a more generous basis are major issues for local government. The devolution agenda will also have a bearing on these issues.</w:t>
            </w:r>
          </w:p>
        </w:tc>
        <w:tc>
          <w:tcPr>
            <w:tcW w:w="1418" w:type="dxa"/>
          </w:tcPr>
          <w:p w:rsidR="00EC1706" w:rsidRPr="00AC577F" w:rsidRDefault="00EC1706" w:rsidP="00627800">
            <w:pPr>
              <w:rPr>
                <w:rFonts w:cs="Arial"/>
              </w:rPr>
            </w:pPr>
            <w:r>
              <w:rPr>
                <w:rFonts w:cs="Arial"/>
              </w:rPr>
              <w:t>Matt Peachey</w:t>
            </w:r>
          </w:p>
        </w:tc>
        <w:tc>
          <w:tcPr>
            <w:tcW w:w="1701" w:type="dxa"/>
            <w:gridSpan w:val="2"/>
          </w:tcPr>
          <w:p w:rsidR="00EC1706" w:rsidRDefault="00F359DF" w:rsidP="00F359DF">
            <w:r>
              <w:t>Feb</w:t>
            </w:r>
            <w:r w:rsidR="006F4EBF">
              <w:t xml:space="preserve"> 201</w:t>
            </w:r>
            <w:r>
              <w:t>6</w:t>
            </w:r>
          </w:p>
        </w:tc>
      </w:tr>
      <w:tr w:rsidR="00EC1706" w:rsidTr="003E3F0E">
        <w:tc>
          <w:tcPr>
            <w:tcW w:w="5812" w:type="dxa"/>
            <w:gridSpan w:val="4"/>
            <w:shd w:val="clear" w:color="auto" w:fill="auto"/>
          </w:tcPr>
          <w:p w:rsidR="00EC1706" w:rsidRPr="00AC577F" w:rsidRDefault="00EC1706" w:rsidP="00F359DF">
            <w:pPr>
              <w:rPr>
                <w:rFonts w:cs="Arial"/>
              </w:rPr>
            </w:pPr>
            <w:r w:rsidRPr="0066079B">
              <w:rPr>
                <w:rFonts w:cs="Arial"/>
              </w:rPr>
              <w:t xml:space="preserve">2. </w:t>
            </w:r>
            <w:r w:rsidR="00F359DF">
              <w:rPr>
                <w:rFonts w:cs="Arial"/>
              </w:rPr>
              <w:t>T</w:t>
            </w:r>
            <w:r w:rsidRPr="0066079B">
              <w:rPr>
                <w:rFonts w:cs="Arial"/>
              </w:rPr>
              <w:t>hat the City Council works with the County Council through the Town Team to agree on a single united channel of regular communications to businesses, such as about travel disruptions, supported by a single online source of information.</w:t>
            </w:r>
          </w:p>
        </w:tc>
        <w:tc>
          <w:tcPr>
            <w:tcW w:w="992" w:type="dxa"/>
            <w:gridSpan w:val="2"/>
            <w:shd w:val="clear" w:color="auto" w:fill="auto"/>
          </w:tcPr>
          <w:p w:rsidR="00EC1706" w:rsidRPr="00AC577F" w:rsidRDefault="00EC1706" w:rsidP="00627800">
            <w:pPr>
              <w:rPr>
                <w:rFonts w:cs="Arial"/>
              </w:rPr>
            </w:pPr>
            <w:r>
              <w:rPr>
                <w:rFonts w:cs="Arial"/>
              </w:rPr>
              <w:t>yes</w:t>
            </w:r>
          </w:p>
        </w:tc>
        <w:tc>
          <w:tcPr>
            <w:tcW w:w="3969" w:type="dxa"/>
            <w:shd w:val="clear" w:color="auto" w:fill="auto"/>
          </w:tcPr>
          <w:p w:rsidR="00EC1706" w:rsidRPr="00AC577F" w:rsidRDefault="00EC1706" w:rsidP="00627800">
            <w:pPr>
              <w:rPr>
                <w:rFonts w:cs="Arial"/>
              </w:rPr>
            </w:pPr>
          </w:p>
        </w:tc>
        <w:tc>
          <w:tcPr>
            <w:tcW w:w="1418" w:type="dxa"/>
          </w:tcPr>
          <w:p w:rsidR="00EC1706" w:rsidRPr="00AC577F" w:rsidRDefault="00EC1706" w:rsidP="00627800">
            <w:pPr>
              <w:rPr>
                <w:rFonts w:cs="Arial"/>
              </w:rPr>
            </w:pPr>
            <w:r>
              <w:rPr>
                <w:rFonts w:cs="Arial"/>
              </w:rPr>
              <w:t>City Centre Manager</w:t>
            </w:r>
          </w:p>
        </w:tc>
        <w:tc>
          <w:tcPr>
            <w:tcW w:w="1701" w:type="dxa"/>
            <w:gridSpan w:val="2"/>
          </w:tcPr>
          <w:p w:rsidR="00EC1706" w:rsidRDefault="00F359DF" w:rsidP="003C1987">
            <w:r w:rsidRPr="00F359DF">
              <w:t>Feb 2016</w:t>
            </w:r>
          </w:p>
        </w:tc>
      </w:tr>
      <w:tr w:rsidR="00EC1706" w:rsidTr="003E3F0E">
        <w:tc>
          <w:tcPr>
            <w:tcW w:w="5812" w:type="dxa"/>
            <w:gridSpan w:val="4"/>
            <w:shd w:val="clear" w:color="auto" w:fill="auto"/>
          </w:tcPr>
          <w:p w:rsidR="00EC1706" w:rsidRPr="00AC577F" w:rsidRDefault="00EC1706" w:rsidP="00F359DF">
            <w:pPr>
              <w:rPr>
                <w:rFonts w:cs="Arial"/>
              </w:rPr>
            </w:pPr>
            <w:r w:rsidRPr="0066079B">
              <w:rPr>
                <w:rFonts w:cs="Arial"/>
              </w:rPr>
              <w:t xml:space="preserve">3. </w:t>
            </w:r>
            <w:r w:rsidR="00F359DF">
              <w:rPr>
                <w:rFonts w:cs="Arial"/>
              </w:rPr>
              <w:t>T</w:t>
            </w:r>
            <w:r w:rsidRPr="0066079B">
              <w:rPr>
                <w:rFonts w:cs="Arial"/>
              </w:rPr>
              <w:t>hat the City Council develops a more corporate approach to communicating with businesses, including guidance for all departments whose work has an impact or involvement with businesses. This could take the form of defining a central point of contact within the City Council, which can identify the appropriate unit to respond on specific issues, including the County Council as appropriate.</w:t>
            </w:r>
          </w:p>
        </w:tc>
        <w:tc>
          <w:tcPr>
            <w:tcW w:w="992" w:type="dxa"/>
            <w:gridSpan w:val="2"/>
            <w:shd w:val="clear" w:color="auto" w:fill="auto"/>
          </w:tcPr>
          <w:p w:rsidR="00EC1706" w:rsidRPr="00AC577F" w:rsidRDefault="00EC1706" w:rsidP="00627800">
            <w:pPr>
              <w:rPr>
                <w:rFonts w:cs="Arial"/>
              </w:rPr>
            </w:pPr>
            <w:r>
              <w:rPr>
                <w:rFonts w:cs="Arial"/>
              </w:rPr>
              <w:t>no</w:t>
            </w:r>
          </w:p>
        </w:tc>
        <w:tc>
          <w:tcPr>
            <w:tcW w:w="3969" w:type="dxa"/>
            <w:shd w:val="clear" w:color="auto" w:fill="auto"/>
          </w:tcPr>
          <w:p w:rsidR="00EC1706" w:rsidRPr="00AC577F" w:rsidRDefault="00EC1706" w:rsidP="00627800">
            <w:pPr>
              <w:rPr>
                <w:rFonts w:cs="Arial"/>
              </w:rPr>
            </w:pPr>
            <w:r>
              <w:rPr>
                <w:rFonts w:cs="Arial"/>
              </w:rPr>
              <w:t>The Communications team will examine this recommendation and consider what elements of it will be feasible and useful to take forward</w:t>
            </w:r>
          </w:p>
        </w:tc>
        <w:tc>
          <w:tcPr>
            <w:tcW w:w="1418" w:type="dxa"/>
          </w:tcPr>
          <w:p w:rsidR="00EC1706" w:rsidRPr="00AC577F" w:rsidRDefault="00EC1706" w:rsidP="00627800">
            <w:pPr>
              <w:rPr>
                <w:rFonts w:cs="Arial"/>
              </w:rPr>
            </w:pPr>
            <w:r>
              <w:rPr>
                <w:rFonts w:cs="Arial"/>
              </w:rPr>
              <w:t>Head of Comms</w:t>
            </w:r>
          </w:p>
        </w:tc>
        <w:tc>
          <w:tcPr>
            <w:tcW w:w="1701" w:type="dxa"/>
            <w:gridSpan w:val="2"/>
          </w:tcPr>
          <w:p w:rsidR="00EC1706" w:rsidRDefault="00F359DF" w:rsidP="003C1987">
            <w:r w:rsidRPr="00F359DF">
              <w:t>Feb 2016</w:t>
            </w:r>
          </w:p>
        </w:tc>
      </w:tr>
      <w:tr w:rsidR="00EC1706" w:rsidTr="003E3F0E">
        <w:tc>
          <w:tcPr>
            <w:tcW w:w="5812" w:type="dxa"/>
            <w:gridSpan w:val="4"/>
            <w:shd w:val="clear" w:color="auto" w:fill="auto"/>
          </w:tcPr>
          <w:p w:rsidR="00EC1706" w:rsidRPr="00AC577F" w:rsidRDefault="00EC1706" w:rsidP="00F359DF">
            <w:pPr>
              <w:rPr>
                <w:rFonts w:cs="Arial"/>
              </w:rPr>
            </w:pPr>
            <w:r w:rsidRPr="0066079B">
              <w:rPr>
                <w:rFonts w:cs="Arial"/>
              </w:rPr>
              <w:t xml:space="preserve">4. </w:t>
            </w:r>
            <w:r w:rsidR="00F359DF">
              <w:rPr>
                <w:rFonts w:cs="Arial"/>
              </w:rPr>
              <w:t>T</w:t>
            </w:r>
            <w:r w:rsidRPr="0066079B">
              <w:rPr>
                <w:rFonts w:cs="Arial"/>
              </w:rPr>
              <w:t xml:space="preserve">hat the City Council works with partners through the Town Team to reinforce the coordinated overall marketing and publicity campaign for Oxford in ways that cover all major potential audiences.  </w:t>
            </w:r>
          </w:p>
        </w:tc>
        <w:tc>
          <w:tcPr>
            <w:tcW w:w="992" w:type="dxa"/>
            <w:gridSpan w:val="2"/>
            <w:shd w:val="clear" w:color="auto" w:fill="auto"/>
          </w:tcPr>
          <w:p w:rsidR="00EC1706" w:rsidRPr="00AC577F" w:rsidRDefault="00EC1706" w:rsidP="00627800">
            <w:pPr>
              <w:rPr>
                <w:rFonts w:cs="Arial"/>
              </w:rPr>
            </w:pPr>
            <w:r>
              <w:rPr>
                <w:rFonts w:cs="Arial"/>
              </w:rPr>
              <w:t>yes</w:t>
            </w:r>
          </w:p>
        </w:tc>
        <w:tc>
          <w:tcPr>
            <w:tcW w:w="3969" w:type="dxa"/>
            <w:shd w:val="clear" w:color="auto" w:fill="auto"/>
          </w:tcPr>
          <w:p w:rsidR="00EC1706" w:rsidRPr="00AC577F" w:rsidRDefault="00EC1706" w:rsidP="00627800">
            <w:pPr>
              <w:rPr>
                <w:rFonts w:cs="Arial"/>
              </w:rPr>
            </w:pPr>
            <w:r>
              <w:rPr>
                <w:rFonts w:cs="Arial"/>
              </w:rPr>
              <w:t>The Town Team should also work closely with the Chief exec of Experience Oxfordshire on marketing and publicity for the city</w:t>
            </w:r>
          </w:p>
        </w:tc>
        <w:tc>
          <w:tcPr>
            <w:tcW w:w="1418" w:type="dxa"/>
          </w:tcPr>
          <w:p w:rsidR="00EC1706" w:rsidRPr="00AC577F" w:rsidRDefault="00EC1706" w:rsidP="00583F5B">
            <w:pPr>
              <w:rPr>
                <w:rFonts w:cs="Arial"/>
              </w:rPr>
            </w:pPr>
            <w:r>
              <w:rPr>
                <w:rFonts w:cs="Arial"/>
              </w:rPr>
              <w:t>City Centre Manager</w:t>
            </w:r>
          </w:p>
        </w:tc>
        <w:tc>
          <w:tcPr>
            <w:tcW w:w="1701" w:type="dxa"/>
            <w:gridSpan w:val="2"/>
          </w:tcPr>
          <w:p w:rsidR="00EC1706" w:rsidRDefault="00F359DF" w:rsidP="003C1987">
            <w:r w:rsidRPr="00F359DF">
              <w:t>Feb 2016</w:t>
            </w:r>
          </w:p>
        </w:tc>
      </w:tr>
      <w:tr w:rsidR="00EC1706" w:rsidTr="003E3F0E">
        <w:tc>
          <w:tcPr>
            <w:tcW w:w="5812" w:type="dxa"/>
            <w:gridSpan w:val="4"/>
            <w:shd w:val="clear" w:color="auto" w:fill="auto"/>
          </w:tcPr>
          <w:p w:rsidR="00EC1706" w:rsidRPr="00AC577F" w:rsidRDefault="00EC1706" w:rsidP="00F359DF">
            <w:pPr>
              <w:rPr>
                <w:rFonts w:cs="Arial"/>
              </w:rPr>
            </w:pPr>
            <w:r w:rsidRPr="0066079B">
              <w:rPr>
                <w:rFonts w:cs="Arial"/>
              </w:rPr>
              <w:t xml:space="preserve">5. </w:t>
            </w:r>
            <w:r w:rsidR="00F359DF">
              <w:rPr>
                <w:rFonts w:cs="Arial"/>
              </w:rPr>
              <w:t>T</w:t>
            </w:r>
            <w:r w:rsidRPr="0066079B">
              <w:rPr>
                <w:rFonts w:cs="Arial"/>
              </w:rPr>
              <w:t xml:space="preserve">hat the City Council develops a one stop shop function for events.  This exercise should include a </w:t>
            </w:r>
            <w:r w:rsidRPr="0066079B">
              <w:rPr>
                <w:rFonts w:cs="Arial"/>
              </w:rPr>
              <w:lastRenderedPageBreak/>
              <w:t>review of the costs and processes associated with aspects such as permission for road closures, stall licences and permits for distributing leaflets.</w:t>
            </w:r>
          </w:p>
        </w:tc>
        <w:tc>
          <w:tcPr>
            <w:tcW w:w="992" w:type="dxa"/>
            <w:gridSpan w:val="2"/>
            <w:shd w:val="clear" w:color="auto" w:fill="auto"/>
          </w:tcPr>
          <w:p w:rsidR="00EC1706" w:rsidRPr="00AC577F" w:rsidRDefault="002B2BFC" w:rsidP="00627800">
            <w:pPr>
              <w:rPr>
                <w:rFonts w:cs="Arial"/>
              </w:rPr>
            </w:pPr>
            <w:r>
              <w:rPr>
                <w:rFonts w:cs="Arial"/>
              </w:rPr>
              <w:lastRenderedPageBreak/>
              <w:t>P</w:t>
            </w:r>
            <w:r w:rsidR="00EC1706">
              <w:rPr>
                <w:rFonts w:cs="Arial"/>
              </w:rPr>
              <w:t>ossibly</w:t>
            </w:r>
            <w:r>
              <w:rPr>
                <w:rFonts w:cs="Arial"/>
              </w:rPr>
              <w:t xml:space="preserve"> (no)</w:t>
            </w:r>
          </w:p>
        </w:tc>
        <w:tc>
          <w:tcPr>
            <w:tcW w:w="3969" w:type="dxa"/>
            <w:shd w:val="clear" w:color="auto" w:fill="auto"/>
          </w:tcPr>
          <w:p w:rsidR="00EC1706" w:rsidRPr="00AC577F" w:rsidRDefault="00EC1706" w:rsidP="00627800">
            <w:pPr>
              <w:rPr>
                <w:rFonts w:cs="Arial"/>
              </w:rPr>
            </w:pPr>
            <w:r>
              <w:rPr>
                <w:rFonts w:cs="Arial"/>
              </w:rPr>
              <w:t xml:space="preserve">The Events Team already provides a pretty comprehensive one stop </w:t>
            </w:r>
            <w:r>
              <w:rPr>
                <w:rFonts w:cs="Arial"/>
              </w:rPr>
              <w:lastRenderedPageBreak/>
              <w:t>shop function within the City Council but they have to work alongside County Council officers on highways issues, which inevitably results in a less than fully comprehensive service. Worth exploring the scope for greater integration</w:t>
            </w:r>
          </w:p>
        </w:tc>
        <w:tc>
          <w:tcPr>
            <w:tcW w:w="1418" w:type="dxa"/>
          </w:tcPr>
          <w:p w:rsidR="00EC1706" w:rsidRPr="00AC577F" w:rsidRDefault="00EC1706" w:rsidP="00627800">
            <w:pPr>
              <w:rPr>
                <w:rFonts w:cs="Arial"/>
              </w:rPr>
            </w:pPr>
            <w:r>
              <w:rPr>
                <w:rFonts w:cs="Arial"/>
              </w:rPr>
              <w:lastRenderedPageBreak/>
              <w:t xml:space="preserve">Peter </w:t>
            </w:r>
            <w:proofErr w:type="spellStart"/>
            <w:r>
              <w:rPr>
                <w:rFonts w:cs="Arial"/>
              </w:rPr>
              <w:t>McQuitty</w:t>
            </w:r>
            <w:proofErr w:type="spellEnd"/>
            <w:r w:rsidR="00583F5B">
              <w:rPr>
                <w:rFonts w:cs="Arial"/>
              </w:rPr>
              <w:t xml:space="preserve"> </w:t>
            </w:r>
            <w:r>
              <w:rPr>
                <w:rFonts w:cs="Arial"/>
              </w:rPr>
              <w:t>/</w:t>
            </w:r>
            <w:r w:rsidR="00583F5B">
              <w:rPr>
                <w:rFonts w:cs="Arial"/>
              </w:rPr>
              <w:t xml:space="preserve"> </w:t>
            </w:r>
            <w:r>
              <w:rPr>
                <w:rFonts w:cs="Arial"/>
              </w:rPr>
              <w:lastRenderedPageBreak/>
              <w:t>Alison Drummond</w:t>
            </w:r>
          </w:p>
        </w:tc>
        <w:tc>
          <w:tcPr>
            <w:tcW w:w="1701" w:type="dxa"/>
            <w:gridSpan w:val="2"/>
          </w:tcPr>
          <w:p w:rsidR="00EC1706" w:rsidRDefault="00F359DF" w:rsidP="003C1987">
            <w:r w:rsidRPr="00F359DF">
              <w:lastRenderedPageBreak/>
              <w:t>Feb 2016</w:t>
            </w:r>
          </w:p>
        </w:tc>
      </w:tr>
      <w:tr w:rsidR="00EC1706" w:rsidTr="003E3F0E">
        <w:tc>
          <w:tcPr>
            <w:tcW w:w="5812" w:type="dxa"/>
            <w:gridSpan w:val="4"/>
            <w:shd w:val="clear" w:color="auto" w:fill="auto"/>
          </w:tcPr>
          <w:p w:rsidR="00EC1706" w:rsidRPr="00AC577F" w:rsidRDefault="00EC1706" w:rsidP="00F359DF">
            <w:pPr>
              <w:rPr>
                <w:rFonts w:cs="Arial"/>
              </w:rPr>
            </w:pPr>
            <w:r w:rsidRPr="0066079B">
              <w:rPr>
                <w:rFonts w:cs="Arial"/>
              </w:rPr>
              <w:lastRenderedPageBreak/>
              <w:t xml:space="preserve">6. </w:t>
            </w:r>
            <w:r w:rsidR="00F359DF">
              <w:rPr>
                <w:rFonts w:cs="Arial"/>
              </w:rPr>
              <w:t>T</w:t>
            </w:r>
            <w:r w:rsidRPr="0066079B">
              <w:rPr>
                <w:rFonts w:cs="Arial"/>
              </w:rPr>
              <w:t>hat the City Council produces a simple analysis of the costs and benefits of pop up shops to landlords and the City Council.</w:t>
            </w:r>
          </w:p>
        </w:tc>
        <w:tc>
          <w:tcPr>
            <w:tcW w:w="992" w:type="dxa"/>
            <w:gridSpan w:val="2"/>
            <w:shd w:val="clear" w:color="auto" w:fill="auto"/>
          </w:tcPr>
          <w:p w:rsidR="00EC1706" w:rsidRPr="00AC577F" w:rsidRDefault="00EC1706" w:rsidP="00627800">
            <w:pPr>
              <w:rPr>
                <w:rFonts w:cs="Arial"/>
              </w:rPr>
            </w:pPr>
            <w:r>
              <w:rPr>
                <w:rFonts w:cs="Arial"/>
              </w:rPr>
              <w:t xml:space="preserve"> no</w:t>
            </w:r>
          </w:p>
        </w:tc>
        <w:tc>
          <w:tcPr>
            <w:tcW w:w="3969" w:type="dxa"/>
            <w:shd w:val="clear" w:color="auto" w:fill="auto"/>
          </w:tcPr>
          <w:p w:rsidR="00EC1706" w:rsidRPr="00AC577F" w:rsidRDefault="00EC1706" w:rsidP="00627800">
            <w:pPr>
              <w:rPr>
                <w:rFonts w:cs="Arial"/>
              </w:rPr>
            </w:pPr>
            <w:r>
              <w:rPr>
                <w:rFonts w:cs="Arial"/>
              </w:rPr>
              <w:t>The costs and benefits will vary so widely that this is likely to be a nugatory exercise.</w:t>
            </w:r>
          </w:p>
        </w:tc>
        <w:tc>
          <w:tcPr>
            <w:tcW w:w="1418" w:type="dxa"/>
          </w:tcPr>
          <w:p w:rsidR="00EC1706" w:rsidRPr="00AC577F" w:rsidRDefault="00EC1706" w:rsidP="00627800">
            <w:pPr>
              <w:rPr>
                <w:rFonts w:cs="Arial"/>
              </w:rPr>
            </w:pPr>
          </w:p>
        </w:tc>
        <w:tc>
          <w:tcPr>
            <w:tcW w:w="1701" w:type="dxa"/>
            <w:gridSpan w:val="2"/>
          </w:tcPr>
          <w:p w:rsidR="00EC1706" w:rsidRDefault="00F359DF" w:rsidP="003C1987">
            <w:r w:rsidRPr="00F359DF">
              <w:t>Feb 2016</w:t>
            </w:r>
          </w:p>
        </w:tc>
      </w:tr>
      <w:tr w:rsidR="00EC1706" w:rsidTr="003E3F0E">
        <w:tc>
          <w:tcPr>
            <w:tcW w:w="5812" w:type="dxa"/>
            <w:gridSpan w:val="4"/>
            <w:shd w:val="clear" w:color="auto" w:fill="auto"/>
          </w:tcPr>
          <w:p w:rsidR="00EC1706" w:rsidRPr="00AC577F" w:rsidRDefault="00EC1706" w:rsidP="00F359DF">
            <w:pPr>
              <w:rPr>
                <w:rFonts w:cs="Arial"/>
              </w:rPr>
            </w:pPr>
            <w:r w:rsidRPr="0066079B">
              <w:rPr>
                <w:rFonts w:cs="Arial"/>
              </w:rPr>
              <w:t xml:space="preserve">7. </w:t>
            </w:r>
            <w:r w:rsidR="00F359DF">
              <w:rPr>
                <w:rFonts w:cs="Arial"/>
              </w:rPr>
              <w:t>T</w:t>
            </w:r>
            <w:r w:rsidRPr="0066079B">
              <w:rPr>
                <w:rFonts w:cs="Arial"/>
              </w:rPr>
              <w:t>hat the City Council takes a lead in establishing and facilitating a city centre commercial property landlord forum.  This would be intended to bring together the owners of commercial properties, including the City Council, to ensure that there is a coordinated approach towards issues affecting the city centre, such as the minimisation of the time during which premises are empty.  The forum could be chaired by the Leader of the Council, linked to the work of the Town Team and constituted based on the model of the previous Pensions and Language School forums.  We also suggest that its membership should include a representative of each political group and that City Councillors should be able to observe meetings of the forum.</w:t>
            </w:r>
          </w:p>
        </w:tc>
        <w:tc>
          <w:tcPr>
            <w:tcW w:w="992" w:type="dxa"/>
            <w:gridSpan w:val="2"/>
            <w:shd w:val="clear" w:color="auto" w:fill="auto"/>
          </w:tcPr>
          <w:p w:rsidR="00EC1706" w:rsidRPr="00AC577F" w:rsidRDefault="00EC1706" w:rsidP="00627800">
            <w:pPr>
              <w:rPr>
                <w:rFonts w:cs="Arial"/>
              </w:rPr>
            </w:pPr>
            <w:r>
              <w:rPr>
                <w:rFonts w:cs="Arial"/>
              </w:rPr>
              <w:t>yes</w:t>
            </w:r>
          </w:p>
        </w:tc>
        <w:tc>
          <w:tcPr>
            <w:tcW w:w="3969" w:type="dxa"/>
            <w:shd w:val="clear" w:color="auto" w:fill="auto"/>
          </w:tcPr>
          <w:p w:rsidR="00EC1706" w:rsidRPr="00AC577F" w:rsidRDefault="00EC1706" w:rsidP="00627800">
            <w:pPr>
              <w:rPr>
                <w:rFonts w:cs="Arial"/>
              </w:rPr>
            </w:pPr>
            <w:r>
              <w:rPr>
                <w:rFonts w:cs="Arial"/>
              </w:rPr>
              <w:t xml:space="preserve">This is a worthwhile initiative and worth trying, although there is an obvious danger that it would simply replicate the Town Team’s work. The TOR would have to be very carefully written. </w:t>
            </w:r>
          </w:p>
        </w:tc>
        <w:tc>
          <w:tcPr>
            <w:tcW w:w="1418" w:type="dxa"/>
          </w:tcPr>
          <w:p w:rsidR="00EC1706" w:rsidRPr="00AC577F" w:rsidRDefault="00EC1706" w:rsidP="00627800">
            <w:pPr>
              <w:rPr>
                <w:rFonts w:cs="Arial"/>
              </w:rPr>
            </w:pPr>
            <w:r>
              <w:rPr>
                <w:rFonts w:cs="Arial"/>
              </w:rPr>
              <w:t>Jane Winfield</w:t>
            </w:r>
          </w:p>
        </w:tc>
        <w:tc>
          <w:tcPr>
            <w:tcW w:w="1701" w:type="dxa"/>
            <w:gridSpan w:val="2"/>
          </w:tcPr>
          <w:p w:rsidR="00EC1706" w:rsidRDefault="00F359DF" w:rsidP="003C1987">
            <w:r w:rsidRPr="00F359DF">
              <w:t>Feb 2016</w:t>
            </w:r>
          </w:p>
        </w:tc>
      </w:tr>
      <w:tr w:rsidR="00EC1706" w:rsidTr="003E3F0E">
        <w:tc>
          <w:tcPr>
            <w:tcW w:w="5812" w:type="dxa"/>
            <w:gridSpan w:val="4"/>
            <w:shd w:val="clear" w:color="auto" w:fill="auto"/>
          </w:tcPr>
          <w:p w:rsidR="00EC1706" w:rsidRPr="00AC577F" w:rsidRDefault="00EC1706" w:rsidP="00F359DF">
            <w:pPr>
              <w:rPr>
                <w:rFonts w:cs="Arial"/>
              </w:rPr>
            </w:pPr>
            <w:r w:rsidRPr="0066079B">
              <w:rPr>
                <w:rFonts w:cs="Arial"/>
              </w:rPr>
              <w:t xml:space="preserve">8. </w:t>
            </w:r>
            <w:r w:rsidR="00F359DF">
              <w:rPr>
                <w:rFonts w:cs="Arial"/>
              </w:rPr>
              <w:t>T</w:t>
            </w:r>
            <w:r w:rsidRPr="0066079B">
              <w:rPr>
                <w:rFonts w:cs="Arial"/>
              </w:rPr>
              <w:t xml:space="preserve">hat the City Council leads on the development of a long term strategy for the city centre as a whole.  This should include a commitment to developing and supporting vibrant and distinct city quarters away from prime sites, in locations such as Gloucester Green, Jericho/Observatory Quarter, Market Street, Broad Street and a possible arts quarter around the </w:t>
            </w:r>
            <w:proofErr w:type="spellStart"/>
            <w:r w:rsidRPr="0066079B">
              <w:rPr>
                <w:rFonts w:cs="Arial"/>
              </w:rPr>
              <w:t>Ashmolean</w:t>
            </w:r>
            <w:proofErr w:type="spellEnd"/>
            <w:r w:rsidRPr="0066079B">
              <w:rPr>
                <w:rFonts w:cs="Arial"/>
              </w:rPr>
              <w:t xml:space="preserve"> Museum.</w:t>
            </w:r>
          </w:p>
        </w:tc>
        <w:tc>
          <w:tcPr>
            <w:tcW w:w="992" w:type="dxa"/>
            <w:gridSpan w:val="2"/>
            <w:shd w:val="clear" w:color="auto" w:fill="auto"/>
          </w:tcPr>
          <w:p w:rsidR="00EC1706" w:rsidRPr="00AC577F" w:rsidRDefault="00EC1706" w:rsidP="00627800">
            <w:pPr>
              <w:rPr>
                <w:rFonts w:cs="Arial"/>
              </w:rPr>
            </w:pPr>
            <w:r>
              <w:rPr>
                <w:rFonts w:cs="Arial"/>
              </w:rPr>
              <w:t>yes</w:t>
            </w:r>
          </w:p>
        </w:tc>
        <w:tc>
          <w:tcPr>
            <w:tcW w:w="3969" w:type="dxa"/>
            <w:shd w:val="clear" w:color="auto" w:fill="auto"/>
          </w:tcPr>
          <w:p w:rsidR="00EC1706" w:rsidRPr="00AC577F" w:rsidRDefault="00EC1706" w:rsidP="00627800">
            <w:pPr>
              <w:rPr>
                <w:rFonts w:cs="Arial"/>
              </w:rPr>
            </w:pPr>
            <w:r>
              <w:rPr>
                <w:rFonts w:cs="Arial"/>
              </w:rPr>
              <w:t>Work is already under way in the Planning Policy team on a city centre strategy.</w:t>
            </w:r>
          </w:p>
        </w:tc>
        <w:tc>
          <w:tcPr>
            <w:tcW w:w="1418" w:type="dxa"/>
          </w:tcPr>
          <w:p w:rsidR="00EC1706" w:rsidRPr="00AC577F" w:rsidRDefault="00EC1706" w:rsidP="00627800">
            <w:pPr>
              <w:rPr>
                <w:rFonts w:cs="Arial"/>
              </w:rPr>
            </w:pPr>
            <w:r>
              <w:rPr>
                <w:rFonts w:cs="Arial"/>
              </w:rPr>
              <w:t>Rachel Williams</w:t>
            </w:r>
          </w:p>
        </w:tc>
        <w:tc>
          <w:tcPr>
            <w:tcW w:w="1701" w:type="dxa"/>
            <w:gridSpan w:val="2"/>
          </w:tcPr>
          <w:p w:rsidR="00EC1706" w:rsidRDefault="00F359DF" w:rsidP="003C1987">
            <w:r>
              <w:t>Feb 2016</w:t>
            </w:r>
          </w:p>
        </w:tc>
      </w:tr>
      <w:tr w:rsidR="00EC1706" w:rsidTr="003E3F0E">
        <w:tc>
          <w:tcPr>
            <w:tcW w:w="5812" w:type="dxa"/>
            <w:gridSpan w:val="4"/>
            <w:shd w:val="clear" w:color="auto" w:fill="auto"/>
          </w:tcPr>
          <w:p w:rsidR="00EC1706" w:rsidRPr="00AC577F" w:rsidRDefault="00EC1706" w:rsidP="00F359DF">
            <w:pPr>
              <w:rPr>
                <w:rFonts w:cs="Arial"/>
              </w:rPr>
            </w:pPr>
            <w:r w:rsidRPr="0066079B">
              <w:rPr>
                <w:rFonts w:cs="Arial"/>
              </w:rPr>
              <w:lastRenderedPageBreak/>
              <w:t xml:space="preserve">9. </w:t>
            </w:r>
            <w:r w:rsidR="00F359DF">
              <w:rPr>
                <w:rFonts w:cs="Arial"/>
              </w:rPr>
              <w:t>T</w:t>
            </w:r>
            <w:r w:rsidRPr="0066079B">
              <w:rPr>
                <w:rFonts w:cs="Arial"/>
              </w:rPr>
              <w:t>hat dedicated officer time is allocated to the development and delivery of this city centre strategy.  This could be funded wholly or in part via a BID and by additional business rates income that the role will generate, via reduced voids in commercial properties.</w:t>
            </w:r>
          </w:p>
        </w:tc>
        <w:tc>
          <w:tcPr>
            <w:tcW w:w="992" w:type="dxa"/>
            <w:gridSpan w:val="2"/>
            <w:shd w:val="clear" w:color="auto" w:fill="auto"/>
          </w:tcPr>
          <w:p w:rsidR="00EC1706" w:rsidRPr="00AC577F" w:rsidRDefault="002B2BFC" w:rsidP="00627800">
            <w:pPr>
              <w:rPr>
                <w:rFonts w:cs="Arial"/>
              </w:rPr>
            </w:pPr>
            <w:r>
              <w:rPr>
                <w:rFonts w:cs="Arial"/>
              </w:rPr>
              <w:t>P</w:t>
            </w:r>
            <w:r w:rsidR="00EC1706">
              <w:rPr>
                <w:rFonts w:cs="Arial"/>
              </w:rPr>
              <w:t>remature</w:t>
            </w:r>
            <w:r>
              <w:rPr>
                <w:rFonts w:cs="Arial"/>
              </w:rPr>
              <w:t xml:space="preserve"> (no)</w:t>
            </w:r>
          </w:p>
        </w:tc>
        <w:tc>
          <w:tcPr>
            <w:tcW w:w="3969" w:type="dxa"/>
            <w:shd w:val="clear" w:color="auto" w:fill="auto"/>
          </w:tcPr>
          <w:p w:rsidR="00EC1706" w:rsidRPr="00AC577F" w:rsidRDefault="00EC1706" w:rsidP="00627800">
            <w:pPr>
              <w:rPr>
                <w:rFonts w:cs="Arial"/>
              </w:rPr>
            </w:pPr>
            <w:r>
              <w:rPr>
                <w:rFonts w:cs="Arial"/>
              </w:rPr>
              <w:t>When we have an agreed strategy, the resource implications will be assessed. The Town Team will be continuing their consideration of a BID over the next few months. The initiative lies with the business community</w:t>
            </w:r>
          </w:p>
        </w:tc>
        <w:tc>
          <w:tcPr>
            <w:tcW w:w="1418" w:type="dxa"/>
          </w:tcPr>
          <w:p w:rsidR="00EC1706" w:rsidRPr="00AC577F" w:rsidRDefault="00EC1706" w:rsidP="00627800">
            <w:pPr>
              <w:rPr>
                <w:rFonts w:cs="Arial"/>
              </w:rPr>
            </w:pPr>
          </w:p>
        </w:tc>
        <w:tc>
          <w:tcPr>
            <w:tcW w:w="1701" w:type="dxa"/>
            <w:gridSpan w:val="2"/>
          </w:tcPr>
          <w:p w:rsidR="00EC1706" w:rsidRDefault="00F359DF" w:rsidP="003C1987">
            <w:r w:rsidRPr="00F359DF">
              <w:t>Feb 2016</w:t>
            </w:r>
          </w:p>
        </w:tc>
      </w:tr>
      <w:tr w:rsidR="00EC1706" w:rsidTr="003E3F0E">
        <w:tc>
          <w:tcPr>
            <w:tcW w:w="5812" w:type="dxa"/>
            <w:gridSpan w:val="4"/>
            <w:shd w:val="clear" w:color="auto" w:fill="auto"/>
          </w:tcPr>
          <w:p w:rsidR="00EC1706" w:rsidRPr="00AC577F" w:rsidRDefault="00EC1706" w:rsidP="00F359DF">
            <w:pPr>
              <w:rPr>
                <w:rFonts w:cs="Arial"/>
              </w:rPr>
            </w:pPr>
            <w:r w:rsidRPr="0066079B">
              <w:rPr>
                <w:rFonts w:cs="Arial"/>
              </w:rPr>
              <w:t xml:space="preserve">10. </w:t>
            </w:r>
            <w:r w:rsidR="00F359DF">
              <w:rPr>
                <w:rFonts w:cs="Arial"/>
              </w:rPr>
              <w:t>T</w:t>
            </w:r>
            <w:r w:rsidRPr="0066079B">
              <w:rPr>
                <w:rFonts w:cs="Arial"/>
              </w:rPr>
              <w:t>hat the City Council’s next Asset Strategy (2016-2020) builds upon the aim (not always presently achieved) of utilising City Council assets in ways that can provide wider strategic benefits to the city centre.  The Asset Strategy could provide clear guidelines on the use of City Council-owned commercial premises to ensure the diversity and vitality of the city’s wider retail offer.</w:t>
            </w:r>
          </w:p>
        </w:tc>
        <w:tc>
          <w:tcPr>
            <w:tcW w:w="992" w:type="dxa"/>
            <w:gridSpan w:val="2"/>
            <w:shd w:val="clear" w:color="auto" w:fill="auto"/>
          </w:tcPr>
          <w:p w:rsidR="00EC1706" w:rsidRPr="00AC577F" w:rsidRDefault="00EC1706" w:rsidP="00627800">
            <w:pPr>
              <w:rPr>
                <w:rFonts w:cs="Arial"/>
              </w:rPr>
            </w:pPr>
            <w:r>
              <w:rPr>
                <w:rFonts w:cs="Arial"/>
              </w:rPr>
              <w:t>no</w:t>
            </w:r>
          </w:p>
        </w:tc>
        <w:tc>
          <w:tcPr>
            <w:tcW w:w="3969" w:type="dxa"/>
            <w:shd w:val="clear" w:color="auto" w:fill="auto"/>
          </w:tcPr>
          <w:p w:rsidR="00EC1706" w:rsidRPr="00AC577F" w:rsidRDefault="00EC1706" w:rsidP="00627800">
            <w:pPr>
              <w:rPr>
                <w:rFonts w:cs="Arial"/>
              </w:rPr>
            </w:pPr>
            <w:r>
              <w:rPr>
                <w:rFonts w:cs="Arial"/>
              </w:rPr>
              <w:t>This recommendation will be remitted to the Asset management team for consideration with the portfolio holder and key officers when work on the 2016-20 strategy is started.</w:t>
            </w:r>
          </w:p>
        </w:tc>
        <w:tc>
          <w:tcPr>
            <w:tcW w:w="1418" w:type="dxa"/>
          </w:tcPr>
          <w:p w:rsidR="00EC1706" w:rsidRPr="00AC577F" w:rsidRDefault="00EC1706" w:rsidP="00627800">
            <w:pPr>
              <w:rPr>
                <w:rFonts w:cs="Arial"/>
              </w:rPr>
            </w:pPr>
            <w:r>
              <w:rPr>
                <w:rFonts w:cs="Arial"/>
              </w:rPr>
              <w:t>David Edwards</w:t>
            </w:r>
            <w:r w:rsidR="00BC1E44">
              <w:rPr>
                <w:rFonts w:cs="Arial"/>
              </w:rPr>
              <w:t xml:space="preserve"> </w:t>
            </w:r>
            <w:r>
              <w:rPr>
                <w:rFonts w:cs="Arial"/>
              </w:rPr>
              <w:t>/</w:t>
            </w:r>
            <w:r w:rsidR="00BC1E44">
              <w:rPr>
                <w:rFonts w:cs="Arial"/>
              </w:rPr>
              <w:t xml:space="preserve"> </w:t>
            </w:r>
            <w:r>
              <w:rPr>
                <w:rFonts w:cs="Arial"/>
              </w:rPr>
              <w:t>Jane Winfield</w:t>
            </w:r>
          </w:p>
        </w:tc>
        <w:tc>
          <w:tcPr>
            <w:tcW w:w="1701" w:type="dxa"/>
            <w:gridSpan w:val="2"/>
          </w:tcPr>
          <w:p w:rsidR="00EC1706" w:rsidRDefault="00F359DF" w:rsidP="003C1987">
            <w:r w:rsidRPr="00F359DF">
              <w:t>Feb 2016</w:t>
            </w:r>
          </w:p>
        </w:tc>
      </w:tr>
      <w:tr w:rsidR="00A068C0" w:rsidRPr="00B44C14" w:rsidTr="00BC1E44">
        <w:trPr>
          <w:trHeight w:val="430"/>
        </w:trPr>
        <w:tc>
          <w:tcPr>
            <w:tcW w:w="1389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A068C0" w:rsidRPr="003C1987" w:rsidRDefault="00EC1706" w:rsidP="00A068C0">
            <w:pPr>
              <w:rPr>
                <w:rFonts w:cs="Arial"/>
                <w:b/>
                <w:bCs/>
                <w:sz w:val="22"/>
                <w:szCs w:val="22"/>
              </w:rPr>
            </w:pPr>
            <w:r>
              <w:rPr>
                <w:rFonts w:cs="Arial"/>
                <w:b/>
                <w:bCs/>
                <w:sz w:val="22"/>
                <w:szCs w:val="22"/>
              </w:rPr>
              <w:t xml:space="preserve">Covered Market Leasing Strategy </w:t>
            </w:r>
            <w:r w:rsidRPr="00EC1706">
              <w:rPr>
                <w:rFonts w:cs="Arial"/>
                <w:b/>
                <w:bCs/>
                <w:sz w:val="22"/>
                <w:szCs w:val="22"/>
              </w:rPr>
              <w:t>– Scrutiny Committee 2 June</w:t>
            </w:r>
          </w:p>
        </w:tc>
      </w:tr>
      <w:tr w:rsidR="00A068C0" w:rsidRPr="00B44C14" w:rsidTr="003E3F0E">
        <w:tc>
          <w:tcPr>
            <w:tcW w:w="5812" w:type="dxa"/>
            <w:gridSpan w:val="4"/>
            <w:shd w:val="clear" w:color="auto" w:fill="auto"/>
            <w:vAlign w:val="center"/>
          </w:tcPr>
          <w:p w:rsidR="00A068C0" w:rsidRPr="00B44C14" w:rsidRDefault="00A068C0" w:rsidP="0021254A">
            <w:pPr>
              <w:rPr>
                <w:rFonts w:cs="Arial"/>
                <w:b/>
                <w:sz w:val="22"/>
                <w:szCs w:val="22"/>
              </w:rPr>
            </w:pPr>
            <w:r w:rsidRPr="00B44C14">
              <w:rPr>
                <w:rFonts w:cs="Arial"/>
                <w:b/>
                <w:sz w:val="22"/>
                <w:szCs w:val="22"/>
              </w:rPr>
              <w:t>Recommendation</w:t>
            </w:r>
          </w:p>
        </w:tc>
        <w:tc>
          <w:tcPr>
            <w:tcW w:w="992" w:type="dxa"/>
            <w:gridSpan w:val="2"/>
            <w:shd w:val="clear" w:color="auto" w:fill="auto"/>
            <w:vAlign w:val="center"/>
          </w:tcPr>
          <w:p w:rsidR="00A068C0" w:rsidRPr="00B44C14" w:rsidRDefault="00A068C0" w:rsidP="0021254A">
            <w:pPr>
              <w:rPr>
                <w:rFonts w:cs="Arial"/>
                <w:b/>
                <w:sz w:val="22"/>
                <w:szCs w:val="22"/>
              </w:rPr>
            </w:pPr>
            <w:r w:rsidRPr="00B44C14">
              <w:rPr>
                <w:rFonts w:cs="Arial"/>
                <w:b/>
                <w:sz w:val="22"/>
                <w:szCs w:val="22"/>
              </w:rPr>
              <w:t>Agreed Y/N</w:t>
            </w:r>
          </w:p>
        </w:tc>
        <w:tc>
          <w:tcPr>
            <w:tcW w:w="3969" w:type="dxa"/>
            <w:shd w:val="clear" w:color="auto" w:fill="auto"/>
            <w:vAlign w:val="center"/>
          </w:tcPr>
          <w:p w:rsidR="00A068C0" w:rsidRPr="003C1987" w:rsidRDefault="00A068C0" w:rsidP="0021254A">
            <w:pPr>
              <w:rPr>
                <w:rFonts w:cs="Arial"/>
                <w:b/>
                <w:sz w:val="22"/>
                <w:szCs w:val="22"/>
              </w:rPr>
            </w:pPr>
            <w:r w:rsidRPr="003C1987">
              <w:rPr>
                <w:rFonts w:cs="Arial"/>
                <w:b/>
                <w:sz w:val="22"/>
                <w:szCs w:val="22"/>
              </w:rPr>
              <w:t>Executive response</w:t>
            </w:r>
          </w:p>
        </w:tc>
        <w:tc>
          <w:tcPr>
            <w:tcW w:w="1559" w:type="dxa"/>
            <w:gridSpan w:val="2"/>
            <w:vAlign w:val="center"/>
          </w:tcPr>
          <w:p w:rsidR="00A068C0" w:rsidRPr="00B44C14" w:rsidRDefault="00A068C0" w:rsidP="0021254A">
            <w:pPr>
              <w:rPr>
                <w:rFonts w:cs="Arial"/>
                <w:b/>
                <w:sz w:val="22"/>
                <w:szCs w:val="22"/>
              </w:rPr>
            </w:pPr>
            <w:r w:rsidRPr="00B44C14">
              <w:rPr>
                <w:rFonts w:cs="Arial"/>
                <w:b/>
                <w:sz w:val="22"/>
                <w:szCs w:val="22"/>
              </w:rPr>
              <w:t xml:space="preserve">Lead Member &amp; Officer </w:t>
            </w:r>
          </w:p>
        </w:tc>
        <w:tc>
          <w:tcPr>
            <w:tcW w:w="1560" w:type="dxa"/>
            <w:vAlign w:val="center"/>
          </w:tcPr>
          <w:p w:rsidR="00A068C0" w:rsidRPr="00B44C14" w:rsidRDefault="00A068C0" w:rsidP="0021254A">
            <w:pPr>
              <w:rPr>
                <w:rFonts w:cs="Arial"/>
                <w:b/>
                <w:sz w:val="22"/>
                <w:szCs w:val="22"/>
              </w:rPr>
            </w:pPr>
            <w:r w:rsidRPr="00B44C14">
              <w:rPr>
                <w:rFonts w:cs="Arial"/>
                <w:b/>
                <w:sz w:val="22"/>
                <w:szCs w:val="22"/>
              </w:rPr>
              <w:t>Implemented Y/N / due date</w:t>
            </w:r>
          </w:p>
        </w:tc>
      </w:tr>
      <w:tr w:rsidR="00A068C0" w:rsidTr="003E3F0E">
        <w:tc>
          <w:tcPr>
            <w:tcW w:w="5812" w:type="dxa"/>
            <w:gridSpan w:val="4"/>
            <w:shd w:val="clear" w:color="auto" w:fill="auto"/>
            <w:vAlign w:val="center"/>
          </w:tcPr>
          <w:p w:rsidR="00EC1706" w:rsidRPr="00EC1706" w:rsidRDefault="00F359DF" w:rsidP="00EC1706">
            <w:pPr>
              <w:rPr>
                <w:rFonts w:cs="Arial"/>
                <w:sz w:val="22"/>
                <w:szCs w:val="22"/>
              </w:rPr>
            </w:pPr>
            <w:r>
              <w:rPr>
                <w:rFonts w:cs="Arial"/>
                <w:sz w:val="22"/>
                <w:szCs w:val="22"/>
              </w:rPr>
              <w:t>T</w:t>
            </w:r>
            <w:r w:rsidR="00EC1706" w:rsidRPr="00EC1706">
              <w:rPr>
                <w:rFonts w:cs="Arial"/>
                <w:sz w:val="22"/>
                <w:szCs w:val="22"/>
              </w:rPr>
              <w:t>hat the City Executive Board approve the updated Covered Market Leasing Strategy 2015 with the following amendments:</w:t>
            </w:r>
          </w:p>
          <w:p w:rsidR="00EC1706" w:rsidRPr="00EC1706" w:rsidRDefault="00EC1706" w:rsidP="00EC1706">
            <w:pPr>
              <w:rPr>
                <w:rFonts w:cs="Arial"/>
                <w:sz w:val="22"/>
                <w:szCs w:val="22"/>
              </w:rPr>
            </w:pPr>
            <w:r w:rsidRPr="00EC1706">
              <w:rPr>
                <w:rFonts w:cs="Arial"/>
                <w:sz w:val="22"/>
                <w:szCs w:val="22"/>
              </w:rPr>
              <w:t>a) The word ‘discouraged’ in paragraph 4.4 is strengthened to ‘avoided’.</w:t>
            </w:r>
          </w:p>
          <w:p w:rsidR="00A068C0" w:rsidRPr="00B44C14" w:rsidRDefault="00EC1706" w:rsidP="00EC1706">
            <w:pPr>
              <w:rPr>
                <w:rFonts w:cs="Arial"/>
                <w:sz w:val="22"/>
                <w:szCs w:val="22"/>
              </w:rPr>
            </w:pPr>
            <w:r w:rsidRPr="00EC1706">
              <w:rPr>
                <w:rFonts w:cs="Arial"/>
                <w:sz w:val="22"/>
                <w:szCs w:val="22"/>
              </w:rPr>
              <w:t>b) The word ‘typically’ in the sixth bullet point of paragraph 4.9 is changed to ‘usually’.  It could also be stated that exceptions will be considered for larger independent retailers that originate from Oxford.</w:t>
            </w:r>
          </w:p>
        </w:tc>
        <w:tc>
          <w:tcPr>
            <w:tcW w:w="992" w:type="dxa"/>
            <w:gridSpan w:val="2"/>
            <w:shd w:val="clear" w:color="auto" w:fill="auto"/>
          </w:tcPr>
          <w:p w:rsidR="00A068C0" w:rsidRPr="002073B7" w:rsidRDefault="00706748" w:rsidP="0021254A">
            <w:pPr>
              <w:rPr>
                <w:rFonts w:cs="Arial"/>
              </w:rPr>
            </w:pPr>
            <w:r>
              <w:rPr>
                <w:rFonts w:cs="Arial"/>
              </w:rPr>
              <w:t>Y</w:t>
            </w:r>
          </w:p>
        </w:tc>
        <w:tc>
          <w:tcPr>
            <w:tcW w:w="3969" w:type="dxa"/>
            <w:shd w:val="clear" w:color="auto" w:fill="auto"/>
          </w:tcPr>
          <w:p w:rsidR="00A068C0" w:rsidRPr="003C1987" w:rsidRDefault="00706748" w:rsidP="0021254A">
            <w:pPr>
              <w:rPr>
                <w:rFonts w:cs="Arial"/>
              </w:rPr>
            </w:pPr>
            <w:r>
              <w:rPr>
                <w:rFonts w:cs="Arial"/>
              </w:rPr>
              <w:t>Happy to accept these changes</w:t>
            </w:r>
          </w:p>
        </w:tc>
        <w:tc>
          <w:tcPr>
            <w:tcW w:w="1559" w:type="dxa"/>
            <w:gridSpan w:val="2"/>
          </w:tcPr>
          <w:p w:rsidR="00A068C0" w:rsidRPr="00B44C14" w:rsidRDefault="00706748" w:rsidP="0021254A">
            <w:pPr>
              <w:rPr>
                <w:rFonts w:cs="Arial"/>
                <w:sz w:val="22"/>
                <w:szCs w:val="22"/>
              </w:rPr>
            </w:pPr>
            <w:r>
              <w:rPr>
                <w:rFonts w:cs="Arial"/>
                <w:sz w:val="22"/>
                <w:szCs w:val="22"/>
              </w:rPr>
              <w:t>Bob Price / Elaine Philip</w:t>
            </w:r>
          </w:p>
        </w:tc>
        <w:tc>
          <w:tcPr>
            <w:tcW w:w="1560" w:type="dxa"/>
          </w:tcPr>
          <w:p w:rsidR="00A068C0" w:rsidRDefault="00706748" w:rsidP="0021254A">
            <w:r>
              <w:t>Y</w:t>
            </w:r>
          </w:p>
        </w:tc>
      </w:tr>
    </w:tbl>
    <w:p w:rsidR="00C650ED" w:rsidRPr="008510EC" w:rsidRDefault="00C650ED" w:rsidP="002B2BFC">
      <w:pPr>
        <w:rPr>
          <w:rFonts w:cs="Arial"/>
          <w:sz w:val="22"/>
          <w:szCs w:val="22"/>
        </w:rPr>
      </w:pPr>
    </w:p>
    <w:sectPr w:rsidR="00C650ED" w:rsidRPr="008510EC" w:rsidSect="00E7113B">
      <w:headerReference w:type="default" r:id="rId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EC" w:rsidRDefault="008439EC" w:rsidP="00B53CB3">
      <w:r>
        <w:separator/>
      </w:r>
    </w:p>
  </w:endnote>
  <w:endnote w:type="continuationSeparator" w:id="0">
    <w:p w:rsidR="008439EC" w:rsidRDefault="008439EC"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EC" w:rsidRDefault="008439EC" w:rsidP="00B53CB3">
      <w:r>
        <w:separator/>
      </w:r>
    </w:p>
  </w:footnote>
  <w:footnote w:type="continuationSeparator" w:id="0">
    <w:p w:rsidR="008439EC" w:rsidRDefault="008439EC"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EC" w:rsidRDefault="002B2BFC" w:rsidP="00B53CB3">
    <w:pPr>
      <w:pStyle w:val="Header"/>
      <w:jc w:val="right"/>
    </w:pPr>
    <w:r>
      <w:t>25 August</w:t>
    </w:r>
    <w:r w:rsidR="008439EC">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970DF1"/>
    <w:multiLevelType w:val="hybridMultilevel"/>
    <w:tmpl w:val="229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1"/>
  </w:num>
  <w:num w:numId="3">
    <w:abstractNumId w:val="18"/>
  </w:num>
  <w:num w:numId="4">
    <w:abstractNumId w:val="19"/>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3"/>
  </w:num>
  <w:num w:numId="10">
    <w:abstractNumId w:val="8"/>
  </w:num>
  <w:num w:numId="11">
    <w:abstractNumId w:val="1"/>
  </w:num>
  <w:num w:numId="12">
    <w:abstractNumId w:val="17"/>
  </w:num>
  <w:num w:numId="13">
    <w:abstractNumId w:val="15"/>
  </w:num>
  <w:num w:numId="14">
    <w:abstractNumId w:val="16"/>
  </w:num>
  <w:num w:numId="15">
    <w:abstractNumId w:val="3"/>
  </w:num>
  <w:num w:numId="16">
    <w:abstractNumId w:val="12"/>
  </w:num>
  <w:num w:numId="17">
    <w:abstractNumId w:val="7"/>
  </w:num>
  <w:num w:numId="18">
    <w:abstractNumId w:val="6"/>
  </w:num>
  <w:num w:numId="19">
    <w:abstractNumId w:val="14"/>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907A4"/>
    <w:rsid w:val="000A4475"/>
    <w:rsid w:val="000A641D"/>
    <w:rsid w:val="000B4310"/>
    <w:rsid w:val="000C2351"/>
    <w:rsid w:val="000C7EFC"/>
    <w:rsid w:val="000F1206"/>
    <w:rsid w:val="000F3DFE"/>
    <w:rsid w:val="001035B3"/>
    <w:rsid w:val="0017183A"/>
    <w:rsid w:val="00180D75"/>
    <w:rsid w:val="001D5FF1"/>
    <w:rsid w:val="001E75C0"/>
    <w:rsid w:val="001F088D"/>
    <w:rsid w:val="002014D2"/>
    <w:rsid w:val="002073B7"/>
    <w:rsid w:val="0021254A"/>
    <w:rsid w:val="002156E2"/>
    <w:rsid w:val="00220229"/>
    <w:rsid w:val="00223663"/>
    <w:rsid w:val="002511EA"/>
    <w:rsid w:val="002A0C78"/>
    <w:rsid w:val="002B2BFC"/>
    <w:rsid w:val="002B5B42"/>
    <w:rsid w:val="002C0C24"/>
    <w:rsid w:val="002E7B68"/>
    <w:rsid w:val="002F3A2A"/>
    <w:rsid w:val="003023E9"/>
    <w:rsid w:val="00316382"/>
    <w:rsid w:val="00326344"/>
    <w:rsid w:val="00327FFE"/>
    <w:rsid w:val="0035028E"/>
    <w:rsid w:val="00357022"/>
    <w:rsid w:val="003609CE"/>
    <w:rsid w:val="003868AF"/>
    <w:rsid w:val="00395D50"/>
    <w:rsid w:val="003A37E9"/>
    <w:rsid w:val="003B3272"/>
    <w:rsid w:val="003C1987"/>
    <w:rsid w:val="003C7868"/>
    <w:rsid w:val="003E3F0E"/>
    <w:rsid w:val="004000D7"/>
    <w:rsid w:val="00414EEA"/>
    <w:rsid w:val="00447415"/>
    <w:rsid w:val="004902A3"/>
    <w:rsid w:val="004A6057"/>
    <w:rsid w:val="00504E43"/>
    <w:rsid w:val="005220C5"/>
    <w:rsid w:val="00522963"/>
    <w:rsid w:val="00551928"/>
    <w:rsid w:val="00571A41"/>
    <w:rsid w:val="00583C5A"/>
    <w:rsid w:val="00583F5B"/>
    <w:rsid w:val="005A0260"/>
    <w:rsid w:val="005B58FD"/>
    <w:rsid w:val="005C3282"/>
    <w:rsid w:val="005F5124"/>
    <w:rsid w:val="00603BD1"/>
    <w:rsid w:val="00614208"/>
    <w:rsid w:val="00625D14"/>
    <w:rsid w:val="00640379"/>
    <w:rsid w:val="006625D8"/>
    <w:rsid w:val="00673B85"/>
    <w:rsid w:val="006F4EBF"/>
    <w:rsid w:val="006F5159"/>
    <w:rsid w:val="00706748"/>
    <w:rsid w:val="0071229E"/>
    <w:rsid w:val="00753A00"/>
    <w:rsid w:val="00764563"/>
    <w:rsid w:val="00765F59"/>
    <w:rsid w:val="00770B64"/>
    <w:rsid w:val="007908F4"/>
    <w:rsid w:val="007A0A6C"/>
    <w:rsid w:val="007A4A33"/>
    <w:rsid w:val="007A7DC2"/>
    <w:rsid w:val="007B337C"/>
    <w:rsid w:val="007F368C"/>
    <w:rsid w:val="00807DCE"/>
    <w:rsid w:val="008314CD"/>
    <w:rsid w:val="008439EC"/>
    <w:rsid w:val="00844866"/>
    <w:rsid w:val="00846740"/>
    <w:rsid w:val="008510EC"/>
    <w:rsid w:val="00855DA9"/>
    <w:rsid w:val="008A22C6"/>
    <w:rsid w:val="008A7475"/>
    <w:rsid w:val="008B5F60"/>
    <w:rsid w:val="008C0949"/>
    <w:rsid w:val="008D24F2"/>
    <w:rsid w:val="008D73A0"/>
    <w:rsid w:val="00933E25"/>
    <w:rsid w:val="0095142D"/>
    <w:rsid w:val="00956626"/>
    <w:rsid w:val="0097480E"/>
    <w:rsid w:val="00980EFA"/>
    <w:rsid w:val="00985E86"/>
    <w:rsid w:val="00991CB7"/>
    <w:rsid w:val="009B54B8"/>
    <w:rsid w:val="00A068C0"/>
    <w:rsid w:val="00A148F9"/>
    <w:rsid w:val="00A2637A"/>
    <w:rsid w:val="00A308B0"/>
    <w:rsid w:val="00A52ED5"/>
    <w:rsid w:val="00A82BD6"/>
    <w:rsid w:val="00A8300A"/>
    <w:rsid w:val="00AA0338"/>
    <w:rsid w:val="00AA66C9"/>
    <w:rsid w:val="00AB74FD"/>
    <w:rsid w:val="00AD2B44"/>
    <w:rsid w:val="00AD4070"/>
    <w:rsid w:val="00B035ED"/>
    <w:rsid w:val="00B06093"/>
    <w:rsid w:val="00B15A23"/>
    <w:rsid w:val="00B44C14"/>
    <w:rsid w:val="00B53CB3"/>
    <w:rsid w:val="00B546F7"/>
    <w:rsid w:val="00B87404"/>
    <w:rsid w:val="00B92E5F"/>
    <w:rsid w:val="00B96221"/>
    <w:rsid w:val="00BA635A"/>
    <w:rsid w:val="00BB1942"/>
    <w:rsid w:val="00BB68B5"/>
    <w:rsid w:val="00BC1E44"/>
    <w:rsid w:val="00BD198F"/>
    <w:rsid w:val="00BD7A68"/>
    <w:rsid w:val="00BE05DB"/>
    <w:rsid w:val="00BE4848"/>
    <w:rsid w:val="00BF26ED"/>
    <w:rsid w:val="00C07F80"/>
    <w:rsid w:val="00C36F77"/>
    <w:rsid w:val="00C57971"/>
    <w:rsid w:val="00C650ED"/>
    <w:rsid w:val="00C711B7"/>
    <w:rsid w:val="00C90875"/>
    <w:rsid w:val="00CB5B94"/>
    <w:rsid w:val="00CC30CF"/>
    <w:rsid w:val="00CC680A"/>
    <w:rsid w:val="00CD1800"/>
    <w:rsid w:val="00CF193A"/>
    <w:rsid w:val="00CF3D58"/>
    <w:rsid w:val="00D00793"/>
    <w:rsid w:val="00D17647"/>
    <w:rsid w:val="00D231E7"/>
    <w:rsid w:val="00D52741"/>
    <w:rsid w:val="00D57AC1"/>
    <w:rsid w:val="00D67F33"/>
    <w:rsid w:val="00D93E13"/>
    <w:rsid w:val="00DA317E"/>
    <w:rsid w:val="00DB6F15"/>
    <w:rsid w:val="00DE7627"/>
    <w:rsid w:val="00DF2345"/>
    <w:rsid w:val="00E07E73"/>
    <w:rsid w:val="00E4362E"/>
    <w:rsid w:val="00E57A03"/>
    <w:rsid w:val="00E7113B"/>
    <w:rsid w:val="00E73644"/>
    <w:rsid w:val="00E802C3"/>
    <w:rsid w:val="00EA7849"/>
    <w:rsid w:val="00EB2B57"/>
    <w:rsid w:val="00EC1706"/>
    <w:rsid w:val="00EF4CF3"/>
    <w:rsid w:val="00F01082"/>
    <w:rsid w:val="00F23B74"/>
    <w:rsid w:val="00F359DF"/>
    <w:rsid w:val="00F551A2"/>
    <w:rsid w:val="00F623D5"/>
    <w:rsid w:val="00F81C76"/>
    <w:rsid w:val="00F83BA4"/>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5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5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E1AB-B342-43B6-8918-99043B24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4D4ED478</Template>
  <TotalTime>0</TotalTime>
  <Pages>9</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2</cp:revision>
  <dcterms:created xsi:type="dcterms:W3CDTF">2015-08-26T14:00:00Z</dcterms:created>
  <dcterms:modified xsi:type="dcterms:W3CDTF">2015-08-26T14:00:00Z</dcterms:modified>
</cp:coreProperties>
</file>